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before="0"/>
      </w:pPr>
      <w:r>
        <w:rPr>
          <w:sz w:val="4"/>
          <w:szCs w:val="4"/>
        </w:rPr>
        <w:t xml:space="preserve"/>
      </w:r>
    </w:p>
    <w:p>
      <w:pPr>
        <w:spacing w:after="80" w:before="0"/>
        <w:jc w:val="center"/>
      </w:pPr>
      <w:r>
        <w:rPr>
          <w:rFonts w:ascii="Arial" w:cs="Arial" w:eastAsia="Arial" w:hAnsi="Arial"/>
          <w:b/>
          <w:bCs/>
          <w:color w:val="0b3d2e"/>
          <w:sz w:val="84"/>
          <w:szCs w:val="84"/>
        </w:rPr>
        <w:t xml:space="preserve">SONGBIRD</w:t>
      </w:r>
    </w:p>
    <w:p>
      <w:pPr>
        <w:spacing w:after="240" w:before="0"/>
        <w:jc w:val="center"/>
      </w:pPr>
      <w:r>
        <w:rPr>
          <w:rFonts w:ascii="Arial" w:cs="Arial" w:eastAsia="Arial" w:hAnsi="Arial"/>
          <w:i/>
          <w:iCs/>
          <w:color w:val="595959"/>
          <w:sz w:val="28"/>
          <w:szCs w:val="28"/>
        </w:rPr>
        <w:t xml:space="preserve">Africa First-Mile Connectivity Infrastructure</w:t>
      </w:r>
    </w:p>
    <w:p>
      <w:pPr>
        <w:pBdr>
          <w:bottom w:val="single" w:color="2E75B6" w:sz="6" w:space="1"/>
        </w:pBdr>
        <w:spacing w:after="200" w:before="100"/>
      </w:pPr>
      <w:r>
        <w:t xml:space="preserve"/>
      </w:r>
    </w:p>
    <w:p>
      <w:pPr>
        <w:spacing w:after="120" w:before="0"/>
        <w:jc w:val="center"/>
      </w:pPr>
      <w:r>
        <w:rPr>
          <w:rFonts w:ascii="Arial" w:cs="Arial" w:eastAsia="Arial" w:hAnsi="Arial"/>
          <w:b/>
          <w:bCs/>
          <w:color w:val="1a1a1a"/>
          <w:sz w:val="36"/>
          <w:szCs w:val="36"/>
        </w:rPr>
        <w:t xml:space="preserve">Fund Raising Strategy</w:t>
      </w:r>
    </w:p>
    <w:p>
      <w:pPr>
        <w:spacing w:after="600" w:before="0"/>
        <w:jc w:val="center"/>
      </w:pPr>
      <w:r>
        <w:rPr>
          <w:rFonts w:ascii="Arial" w:cs="Arial" w:eastAsia="Arial" w:hAnsi="Arial"/>
          <w:i/>
          <w:iCs/>
          <w:color w:val="595959"/>
          <w:sz w:val="22"/>
          <w:szCs w:val="22"/>
        </w:rPr>
        <w:t xml:space="preserve">A two-track plan combining EU public capital with patient-private capital — sequenced so the public stack anchors and de-risks the equity round.</w:t>
      </w:r>
    </w:p>
    <w:p>
      <w:pPr>
        <w:pBdr>
          <w:bottom w:val="single" w:color="2E75B6" w:sz="6" w:space="1"/>
        </w:pBdr>
        <w:spacing w:after="200" w:before="100"/>
      </w:pPr>
      <w:r>
        <w:t xml:space="preserve"/>
      </w:r>
    </w:p>
    <w:p>
      <w:pPr>
        <w:spacing w:after="2000" w:before="0"/>
      </w:pPr>
      <w:r>
        <w:rPr>
          <w:sz w:val="4"/>
          <w:szCs w:val="4"/>
        </w:rPr>
        <w:t xml:space="preserve"/>
      </w:r>
    </w:p>
    <w:p>
      <w:pPr>
        <w:spacing w:after="60" w:before="0"/>
        <w:jc w:val="center"/>
      </w:pPr>
      <w:r>
        <w:rPr>
          <w:rFonts w:ascii="Arial" w:cs="Arial" w:eastAsia="Arial" w:hAnsi="Arial"/>
          <w:color w:val="595959"/>
          <w:sz w:val="20"/>
          <w:szCs w:val="20"/>
        </w:rPr>
        <w:t xml:space="preserve">Target raise: $25–28M over 18 months  ·  Phase 1 minimum: $8–10M</w:t>
      </w:r>
    </w:p>
    <w:p>
      <w:pPr>
        <w:spacing w:after="80" w:before="0"/>
        <w:jc w:val="center"/>
      </w:pPr>
      <w:r>
        <w:rPr>
          <w:rFonts w:ascii="Arial" w:cs="Arial" w:eastAsia="Arial" w:hAnsi="Arial"/>
          <w:color w:val="595959"/>
          <w:sz w:val="20"/>
          <w:szCs w:val="20"/>
        </w:rPr>
        <w:t xml:space="preserve">Document version 1.0  ·  Prepared May 2026</w:t>
      </w:r>
    </w:p>
    <w:p>
      <w:r>
        <w:br w:type="page"/>
      </w:r>
    </w:p>
    <w:p>
      <w:pPr>
        <w:pStyle w:val="Heading1"/>
        <w:spacing w:after="200" w:before="480"/>
      </w:pPr>
      <w:r>
        <w:rPr>
          <w:rFonts w:ascii="Arial" w:cs="Arial" w:eastAsia="Arial" w:hAnsi="Arial"/>
          <w:b/>
          <w:bCs/>
          <w:color w:val="0b3d2e"/>
          <w:sz w:val="36"/>
          <w:szCs w:val="36"/>
        </w:rPr>
        <w:t xml:space="preserve">1. Strategic Overview</w:t>
      </w:r>
    </w:p>
    <w:p>
      <w:pPr>
        <w:spacing w:after="200" w:before="0"/>
      </w:pPr>
      <w:r>
        <w:rPr>
          <w:rFonts w:ascii="Arial" w:cs="Arial" w:eastAsia="Arial" w:hAnsi="Arial"/>
          <w:color w:val="262626"/>
          <w:sz w:val="22"/>
          <w:szCs w:val="22"/>
        </w:rPr>
        <w:t xml:space="preserve">Songbird needs $25–28M of blended capital over 18 months. That number is large enough to require a structured fund-raising plan and small enough that no single institution will write the entire cheque. This document maps the two parallel tracks — public capital and patient private capital — and describes how to sequence them so that each track's success de-risks the other.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headline structure</w:t>
            </w:r>
          </w:p>
          <w:p>
            <w:pPr>
              <w:spacing w:after="80" w:before="0"/>
            </w:pPr>
            <w:r>
              <w:rPr>
                <w:rFonts w:ascii="Arial" w:cs="Arial" w:eastAsia="Arial" w:hAnsi="Arial"/>
                <w:color w:val="262626"/>
                <w:sz w:val="22"/>
                <w:szCs w:val="22"/>
              </w:rPr>
              <w:t xml:space="preserve">60% public, 40% private. Approximately €15–17M of grants and concessional debt from European public sources; $8–11M of patient capital and DFI senior debt from private/quasi-public sources.</w:t>
            </w:r>
          </w:p>
          <w:p>
            <w:pPr>
              <w:spacing w:after="80" w:before="0"/>
            </w:pPr>
            <w:r>
              <w:rPr>
                <w:rFonts w:ascii="Arial" w:cs="Arial" w:eastAsia="Arial" w:hAnsi="Arial"/>
                <w:i/>
                <w:iCs/>
                <w:color w:val="595959"/>
                <w:sz w:val="20"/>
                <w:szCs w:val="20"/>
              </w:rPr>
              <w:t xml:space="preserve">Sequencing matters: public stack anchors first (months 0–9), then patient capital closes against it (months 10–18). This is the inverse of how startups normally raise — and it is correct for an infrastructure project with a mission firewall.</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1.1 Why this split</w:t>
      </w:r>
    </w:p>
    <w:p>
      <w:pPr>
        <w:pStyle w:val="ListParagraph"/>
        <w:numPr>
          <w:ilvl w:val="0"/>
          <w:numId w:val="2"/>
        </w:numPr>
        <w:spacing w:after="40" w:before="40"/>
      </w:pPr>
      <w:r>
        <w:rPr>
          <w:rFonts w:ascii="Arial" w:cs="Arial" w:eastAsia="Arial" w:hAnsi="Arial"/>
          <w:color w:val="262626"/>
          <w:sz w:val="22"/>
          <w:szCs w:val="22"/>
        </w:rPr>
        <w:t xml:space="preserve">The Foundation governance limits dilutive equity to roughly 30% of the cap table — beyond that, the firewall becomes harder to defend in investor relations.</w:t>
      </w:r>
    </w:p>
    <w:p>
      <w:pPr>
        <w:pStyle w:val="ListParagraph"/>
        <w:numPr>
          <w:ilvl w:val="0"/>
          <w:numId w:val="2"/>
        </w:numPr>
        <w:spacing w:after="40" w:before="40"/>
      </w:pPr>
      <w:r>
        <w:rPr>
          <w:rFonts w:ascii="Arial" w:cs="Arial" w:eastAsia="Arial" w:hAnsi="Arial"/>
          <w:color w:val="262626"/>
          <w:sz w:val="22"/>
          <w:szCs w:val="22"/>
        </w:rPr>
        <w:t xml:space="preserve">Public capital is non-dilutive but slow. Patient private capital is faster but more expensive. Combining them produces a stack with both cheap blended cost of capital (4–6%) and credible institutional speed.</w:t>
      </w:r>
    </w:p>
    <w:p>
      <w:pPr>
        <w:pStyle w:val="ListParagraph"/>
        <w:numPr>
          <w:ilvl w:val="0"/>
          <w:numId w:val="2"/>
        </w:numPr>
        <w:spacing w:after="40" w:before="40"/>
      </w:pPr>
      <w:r>
        <w:rPr>
          <w:rFonts w:ascii="Arial" w:cs="Arial" w:eastAsia="Arial" w:hAnsi="Arial"/>
          <w:color w:val="262626"/>
          <w:sz w:val="22"/>
          <w:szCs w:val="22"/>
        </w:rPr>
        <w:t xml:space="preserve">The public stack is what makes the equity round closable. Convergence Partners or Proparco will not lead a $5M Songbird equity round on its own, but they will close behind €10M of public anchor capital because that anchor proves political viability.</w:t>
      </w:r>
    </w:p>
    <w:p>
      <w:pPr>
        <w:pStyle w:val="ListParagraph"/>
        <w:numPr>
          <w:ilvl w:val="0"/>
          <w:numId w:val="2"/>
        </w:numPr>
        <w:spacing w:after="40" w:before="40"/>
      </w:pPr>
      <w:r>
        <w:rPr>
          <w:rFonts w:ascii="Arial" w:cs="Arial" w:eastAsia="Arial" w:hAnsi="Arial"/>
          <w:color w:val="262626"/>
          <w:sz w:val="22"/>
          <w:szCs w:val="22"/>
        </w:rPr>
        <w:t xml:space="preserve">Conversely, the private stack is what makes the public stack disbursable. Most EU public instruments require evidence of co-investment, which the patient capital track supplies.</w:t>
      </w:r>
    </w:p>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1.2 Timeline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600"/>
        <w:gridCol w:w="2900"/>
        <w:gridCol w:w="2660"/>
      </w:tblGrid>
      <w:tr>
        <w:trPr>
          <w:tblHeader/>
        </w:trPr>
        <w:tc>
          <w:tcPr>
            <w:tcW w:type="dxa" w:w="1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Months</w:t>
            </w:r>
          </w:p>
        </w:tc>
        <w:tc>
          <w:tcPr>
            <w:tcW w:type="dxa" w:w="2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Track A (Public)</w:t>
            </w:r>
          </w:p>
        </w:tc>
        <w:tc>
          <w:tcPr>
            <w:tcW w:type="dxa" w:w="2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Track B (Private)</w:t>
            </w:r>
          </w:p>
        </w:tc>
        <w:tc>
          <w:tcPr>
            <w:tcW w:type="dxa" w:w="2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Cumulative committed</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0–3</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proposal submitted; Foundation entity formed</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 Proparco initial conversations</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w:t>
            </w:r>
          </w:p>
        </w:tc>
      </w:tr>
      <w:tr>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3–6</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FEDES letter of interest; EIB Global pre-screening; AFD initial meeting</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Investor deck circulated; Term-sheet negotiations begin</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$2–3M (LOIs only)</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6–9</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application; AFD grant request; Italian Mattei Plan submission</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indicative term sheet; DFI co-investor identification</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$5–8M (LOIs + soft commits)</w:t>
            </w:r>
          </w:p>
        </w:tc>
      </w:tr>
      <w:tr>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9–12</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 disbursement; EIB Global committee approval; German KfW conversations</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Convergence-led Series A close; Proparco/BII confirmed</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$15–18M (signed commitments)</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12–15</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drawdown; Nordic + Italian closes</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senior debt term sheet</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$22–25M</w:t>
            </w:r>
          </w:p>
        </w:tc>
      </w:tr>
      <w:tr>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15–18</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Phase 2 funding (additional EU member state grants)</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first drawdown; potential strategic co-invest</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$25–28M complete</w:t>
            </w:r>
          </w:p>
        </w:tc>
      </w:tr>
    </w:tbl>
    <w:p>
      <w:pPr>
        <w:pStyle w:val="Heading1"/>
        <w:pageBreakBefore/>
        <w:spacing w:after="200" w:before="240"/>
      </w:pPr>
      <w:r>
        <w:rPr>
          <w:rFonts w:ascii="Arial" w:cs="Arial" w:eastAsia="Arial" w:hAnsi="Arial"/>
          <w:b/>
          <w:bCs/>
          <w:color w:val="0b3d2e"/>
          <w:sz w:val="36"/>
          <w:szCs w:val="36"/>
        </w:rPr>
        <w:t xml:space="preserve">2. Track A — European Public Capital</w:t>
      </w:r>
    </w:p>
    <w:p>
      <w:pPr>
        <w:spacing w:after="200" w:before="0"/>
      </w:pPr>
      <w:r>
        <w:rPr>
          <w:rFonts w:ascii="Arial" w:cs="Arial" w:eastAsia="Arial" w:hAnsi="Arial"/>
          <w:color w:val="262626"/>
          <w:sz w:val="22"/>
          <w:szCs w:val="22"/>
        </w:rPr>
        <w:t xml:space="preserve">European public capital for African digital infrastructure has never been more available. The Global Gateway strategy commits €300B by 2027, with €150B specifically for Africa by 2030, and the Medusa cable — which Songbird sits directly on — is the EU's flagship digital infrastructure project in the Mediterranean. The challenge is not finding capital; it is structuring the application so that 4–5 sources each write a coherent cheque.</w:t>
      </w:r>
    </w:p>
    <w:p>
      <w:pPr>
        <w:pStyle w:val="Heading2"/>
        <w:spacing w:after="160" w:before="320"/>
      </w:pPr>
      <w:r>
        <w:rPr>
          <w:rFonts w:ascii="Arial" w:cs="Arial" w:eastAsia="Arial" w:hAnsi="Arial"/>
          <w:b/>
          <w:bCs/>
          <w:color w:val="1a1a1a"/>
          <w:sz w:val="28"/>
          <w:szCs w:val="28"/>
        </w:rPr>
        <w:t xml:space="preserve">2.1 The public capital architecture</w:t>
      </w:r>
    </w:p>
    <w:p>
      <w:pPr>
        <w:spacing w:after="200" w:before="0"/>
      </w:pPr>
      <w:r>
        <w:rPr>
          <w:rFonts w:ascii="Arial" w:cs="Arial" w:eastAsia="Arial" w:hAnsi="Arial"/>
          <w:color w:val="262626"/>
          <w:sz w:val="22"/>
          <w:szCs w:val="22"/>
        </w:rPr>
        <w:t xml:space="preserve">There are roughly four tiers of European public capital relevant to Songbird. Each operates on its own timeline and procurement logic. The strategy is to apply to all four in parallel and let them stack naturally.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1400"/>
        <w:gridCol w:w="1500"/>
        <w:gridCol w:w="2460"/>
      </w:tblGrid>
      <w:tr>
        <w:trPr>
          <w:tblHeader/>
        </w:trPr>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Tier</w:t>
            </w:r>
          </w:p>
        </w:tc>
        <w:tc>
          <w:tcPr>
            <w:tcW w:type="dxa" w:w="2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Typical ticket</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Cycle</w:t>
            </w:r>
          </w:p>
        </w:tc>
        <w:tc>
          <w:tcPr>
            <w:tcW w:type="dxa" w:w="24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Songbird fit</w:t>
            </w:r>
          </w:p>
        </w:tc>
      </w:tr>
      <w:tr>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 — EU level</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EFSD+ via EIB Global, EU Global Gateway</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€10–50M</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12–18 months</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Flagship — Medusa alignment</w:t>
            </w:r>
          </w:p>
        </w:tc>
      </w:tr>
      <w:tr>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 — Member states</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Spain (AECID/FEDES), France (AFD), Germany (KfW), Italy (CDP), Netherlands (FMO/Invest International)</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€2–10M each</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6–12 months each</w:t>
            </w:r>
          </w:p>
        </w:tc>
        <w:tc>
          <w:tcPr>
            <w:tcW w:type="dxa" w:w="2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Stack 3–5 simultaneously</w:t>
            </w:r>
          </w:p>
        </w:tc>
      </w:tr>
      <w:tr>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 — Sub-national</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autonomous regions (Cataluña, Andalucía, Canarias), French regions, Italian regions</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€100k–€2M each</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6–12 months</w:t>
            </w:r>
          </w:p>
        </w:tc>
        <w:tc>
          <w:tcPr>
            <w:tcW w:type="dxa" w:w="2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Political/relationship layer</w:t>
            </w:r>
          </w:p>
        </w:tc>
      </w:tr>
      <w:tr>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4 — Specialised funds</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Smart Africa, AU-EU D4D Hub, Team Europe initiatives</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€500k–€5M</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12–18 months</w:t>
            </w:r>
          </w:p>
        </w:tc>
        <w:tc>
          <w:tcPr>
            <w:tcW w:type="dxa" w:w="2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TA, project preparation</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2.2 Tier 1 — EU-level instruments</w:t>
      </w:r>
    </w:p>
    <w:p>
      <w:pPr>
        <w:pStyle w:val="Heading3"/>
        <w:spacing w:after="120" w:before="240"/>
      </w:pPr>
      <w:r>
        <w:rPr>
          <w:rFonts w:ascii="Arial" w:cs="Arial" w:eastAsia="Arial" w:hAnsi="Arial"/>
          <w:b/>
          <w:bCs/>
          <w:color w:val="1a1a1a"/>
          <w:sz w:val="24"/>
          <w:szCs w:val="24"/>
        </w:rPr>
        <w:t xml:space="preserve">2.2.1 Global Gateway / EFSD+ via EIB Global</w:t>
      </w:r>
    </w:p>
    <w:p>
      <w:pPr>
        <w:spacing w:after="200" w:before="0"/>
      </w:pPr>
      <w:r>
        <w:rPr>
          <w:rFonts w:ascii="Arial" w:cs="Arial" w:eastAsia="Arial" w:hAnsi="Arial"/>
          <w:color w:val="262626"/>
          <w:sz w:val="22"/>
          <w:szCs w:val="22"/>
        </w:rPr>
        <w:t xml:space="preserve">The dominant pool. The European Fund for Sustainable Development Plus is the main financing instrument supporting Global Gateway, with €135B of capacity for the 2021–27 period and a €26.7B guarantee envelope supporting EIB Global lending outside the EU. EIB Global is the largest EFSD+ implementation partner. The Medusa subsea cable is one of the flagship projects.</w:t>
      </w:r>
    </w:p>
    <w:p>
      <w:pPr>
        <w:spacing w:after="80" w:before="160"/>
      </w:pPr>
      <w:r>
        <w:rPr>
          <w:rFonts w:ascii="Arial" w:cs="Arial" w:eastAsia="Arial" w:hAnsi="Arial"/>
          <w:b/>
          <w:bCs/>
          <w:i/>
          <w:iCs/>
          <w:color w:val="595959"/>
          <w:sz w:val="22"/>
          <w:szCs w:val="22"/>
        </w:rPr>
        <w:t xml:space="preserve">How to engage</w:t>
      </w:r>
    </w:p>
    <w:p>
      <w:pPr>
        <w:pStyle w:val="ListParagraph"/>
        <w:numPr>
          <w:ilvl w:val="0"/>
          <w:numId w:val="2"/>
        </w:numPr>
        <w:spacing w:after="40" w:before="40"/>
      </w:pPr>
      <w:r>
        <w:rPr>
          <w:rFonts w:ascii="Arial" w:cs="Arial" w:eastAsia="Arial" w:hAnsi="Arial"/>
          <w:color w:val="262626"/>
          <w:sz w:val="22"/>
          <w:szCs w:val="22"/>
        </w:rPr>
        <w:t xml:space="preserve">Direct EIB Global loan with EFSD+ guarantee cover. Typical ticket €15–50M, 12–20yr tenor, well below market rate. Requires a project promoter — usually a DFI or large strategic.</w:t>
      </w:r>
    </w:p>
    <w:p>
      <w:pPr>
        <w:pStyle w:val="ListParagraph"/>
        <w:numPr>
          <w:ilvl w:val="0"/>
          <w:numId w:val="2"/>
        </w:numPr>
        <w:spacing w:after="40" w:before="40"/>
      </w:pPr>
      <w:r>
        <w:rPr>
          <w:rFonts w:ascii="Arial" w:cs="Arial" w:eastAsia="Arial" w:hAnsi="Arial"/>
          <w:color w:val="262626"/>
          <w:sz w:val="22"/>
          <w:szCs w:val="22"/>
        </w:rPr>
        <w:t xml:space="preserve">Project preparation grant via the EU-Africa Global Gateway Infrastructure Project Delivery Facility managed by EIB. Pays for the feasibility, technical, environmental, legal work that DFIs would otherwise charge against the equity tranche.</w:t>
      </w:r>
    </w:p>
    <w:p>
      <w:pPr>
        <w:pStyle w:val="ListParagraph"/>
        <w:numPr>
          <w:ilvl w:val="0"/>
          <w:numId w:val="2"/>
        </w:numPr>
        <w:spacing w:after="40" w:before="40"/>
      </w:pPr>
      <w:r>
        <w:rPr>
          <w:rFonts w:ascii="Arial" w:cs="Arial" w:eastAsia="Arial" w:hAnsi="Arial"/>
          <w:color w:val="262626"/>
          <w:sz w:val="22"/>
          <w:szCs w:val="22"/>
        </w:rPr>
        <w:t xml:space="preserve">Global Gateway Early-Stage Investment programme. €40M total budget, €2M per project, 12–36 month duration. March 2026 deadline already passed; next cycle in 2027.</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2100"/>
        <w:gridCol w:w="2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Name / Role</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Institution</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Why this person</w:t>
            </w:r>
          </w:p>
        </w:tc>
        <w:tc>
          <w:tcPr>
            <w:tcW w:type="dxa" w:w="2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Approach</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Jozef Síkela — Commissioner</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DG INTPA (European Commission)</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Political-level Global Gateway lead</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cabinet head; reference Pablo's Spanish/Maghreb network</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Koen Doens — Director-General</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DG INTPA</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 head of EU development cooperation</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Sub-Saharan Africa department; through deputy DG</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Sub-Saharan Africa Dept</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Direct deal team for SSA digital infra</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EIB Global's Brussels and Luxembourg offices</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Digital Economy sector team</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Sector specialists for telecom/digital</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Reference Medusa flagship alignment</w:t>
            </w:r>
          </w:p>
        </w:tc>
      </w:tr>
    </w:tbl>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2.2.2 Smart Africa partnership</w:t>
      </w:r>
    </w:p>
    <w:p>
      <w:pPr>
        <w:spacing w:after="160" w:before="0"/>
      </w:pPr>
      <w:r>
        <w:rPr>
          <w:rFonts w:ascii="Arial" w:cs="Arial" w:eastAsia="Arial" w:hAnsi="Arial"/>
          <w:color w:val="262626"/>
          <w:sz w:val="22"/>
          <w:szCs w:val="22"/>
        </w:rPr>
        <w:t xml:space="preserve">The EU-Smart Africa partnership has a flagship project on data governance co-funded by Germany. Songbird's wholesale-infrastructure-for-public-services angle aligns with Smart Africa's Broadband 2025 Strategy. Smaller ticket (€500k–€3M) but high political visibility.</w:t>
      </w:r>
    </w:p>
    <w:p>
      <w:pPr>
        <w:spacing w:after="80" w:before="160"/>
      </w:pPr>
      <w:r>
        <w:rPr>
          <w:rFonts w:ascii="Arial" w:cs="Arial" w:eastAsia="Arial" w:hAnsi="Arial"/>
          <w:b/>
          <w:bCs/>
          <w:i/>
          <w:iCs/>
          <w:color w:val="595959"/>
          <w:sz w:val="22"/>
          <w:szCs w:val="22"/>
        </w:rPr>
        <w:t xml:space="preserve">Key contact</w:t>
      </w:r>
    </w:p>
    <w:p>
      <w:pPr>
        <w:pStyle w:val="ListParagraph"/>
        <w:numPr>
          <w:ilvl w:val="0"/>
          <w:numId w:val="2"/>
        </w:numPr>
        <w:spacing w:after="40" w:before="40"/>
      </w:pPr>
      <w:r>
        <w:rPr>
          <w:rFonts w:ascii="Arial" w:cs="Arial" w:eastAsia="Arial" w:hAnsi="Arial"/>
          <w:b/>
          <w:bCs/>
          <w:color w:val="262626"/>
          <w:sz w:val="22"/>
          <w:szCs w:val="22"/>
        </w:rPr>
        <w:t xml:space="preserve">Lacina Koné — CEO, Smart Africa Alliance (Kigali)</w:t>
      </w:r>
    </w:p>
    <w:p>
      <w:pPr>
        <w:pStyle w:val="ListParagraph"/>
        <w:numPr>
          <w:ilvl w:val="0"/>
          <w:numId w:val="2"/>
        </w:numPr>
        <w:spacing w:after="40" w:before="40"/>
      </w:pPr>
      <w:r>
        <w:rPr>
          <w:rFonts w:ascii="Arial" w:cs="Arial" w:eastAsia="Arial" w:hAnsi="Arial"/>
          <w:color w:val="262626"/>
          <w:sz w:val="22"/>
          <w:szCs w:val="22"/>
        </w:rPr>
        <w:t xml:space="preserve">Approach: through African Union digital working group; reference Smart Africa Broadband 2025 alignment.</w:t>
      </w:r>
    </w:p>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2.2.3 AU-EU Digital for Development (D4D) Hub</w:t>
      </w:r>
    </w:p>
    <w:p>
      <w:pPr>
        <w:spacing w:after="240" w:before="0"/>
      </w:pPr>
      <w:r>
        <w:rPr>
          <w:rFonts w:ascii="Arial" w:cs="Arial" w:eastAsia="Arial" w:hAnsi="Arial"/>
          <w:color w:val="262626"/>
          <w:sz w:val="22"/>
          <w:szCs w:val="22"/>
        </w:rPr>
        <w:t xml:space="preserve">Smaller (€8M total budget) but the right venue for visibility and partnership framing rather than primary funding. Useful for project preparation TA and for political relationship building.</w:t>
      </w:r>
    </w:p>
    <w:p>
      <w:pPr>
        <w:pStyle w:val="Heading2"/>
        <w:spacing w:after="160" w:before="320"/>
      </w:pPr>
      <w:r>
        <w:rPr>
          <w:rFonts w:ascii="Arial" w:cs="Arial" w:eastAsia="Arial" w:hAnsi="Arial"/>
          <w:b/>
          <w:bCs/>
          <w:color w:val="1a1a1a"/>
          <w:sz w:val="28"/>
          <w:szCs w:val="28"/>
        </w:rPr>
        <w:t xml:space="preserve">2.3 Tier 2 — Member states (run in parallel)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key insight on member-state funding</w:t>
            </w:r>
          </w:p>
          <w:p>
            <w:pPr>
              <w:spacing w:after="80" w:before="0"/>
            </w:pPr>
            <w:r>
              <w:rPr>
                <w:rFonts w:ascii="Arial" w:cs="Arial" w:eastAsia="Arial" w:hAnsi="Arial"/>
                <w:i/>
                <w:iCs/>
                <w:color w:val="262626"/>
                <w:sz w:val="22"/>
                <w:szCs w:val="22"/>
              </w:rPr>
              <w:t xml:space="preserve">Each member state runs its own development finance with overlapping but not identical priorities. You stack them. Do not chase one €30M cheque; assemble five €2–10M cheques. Each cheque has its own political logic and its own deadline.</w:t>
            </w:r>
          </w:p>
        </w:tc>
      </w:tr>
    </w:tbl>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2.3.1 Spain — AECID / FEDES / COFIDES (priority lead)</w:t>
      </w:r>
    </w:p>
    <w:p>
      <w:pPr>
        <w:spacing w:after="200" w:before="0"/>
      </w:pPr>
      <w:r>
        <w:rPr>
          <w:rFonts w:ascii="Arial" w:cs="Arial" w:eastAsia="Arial" w:hAnsi="Arial"/>
          <w:color w:val="262626"/>
          <w:sz w:val="22"/>
          <w:szCs w:val="22"/>
        </w:rPr>
        <w:t xml:space="preserve">Spain is the natural lead member state. Five Songbird POPs (Barcelona, Marseille via Catalan transit, North African landings) sit in Spain's strategic neighbourhood. The post-FONPRODE FEDES reform creates an unusually well-positioned moment: FEDES launched 23 January 2026 to replace FONPRODE and is actively looking for marquee projects to deploy capital against. Geographic priority includes Maghreb and Sahel.</w:t>
      </w:r>
    </w:p>
    <w:p>
      <w:pPr>
        <w:spacing w:after="80" w:before="160"/>
      </w:pPr>
      <w:r>
        <w:rPr>
          <w:rFonts w:ascii="Arial" w:cs="Arial" w:eastAsia="Arial" w:hAnsi="Arial"/>
          <w:b/>
          <w:bCs/>
          <w:i/>
          <w:iCs/>
          <w:color w:val="595959"/>
          <w:sz w:val="22"/>
          <w:szCs w:val="22"/>
        </w:rPr>
        <w:t xml:space="preserve">Instruments</w:t>
      </w:r>
    </w:p>
    <w:p>
      <w:pPr>
        <w:pStyle w:val="ListParagraph"/>
        <w:numPr>
          <w:ilvl w:val="0"/>
          <w:numId w:val="2"/>
        </w:numPr>
        <w:spacing w:after="40" w:before="40"/>
      </w:pPr>
      <w:r>
        <w:rPr>
          <w:rFonts w:ascii="Arial" w:cs="Arial" w:eastAsia="Arial" w:hAnsi="Arial"/>
          <w:b/>
          <w:bCs/>
          <w:color w:val="262626"/>
          <w:sz w:val="22"/>
          <w:szCs w:val="22"/>
        </w:rPr>
        <w:t xml:space="preserve">FEDES (Spanish Sustainable Development Fund): </w:t>
      </w:r>
      <w:r>
        <w:rPr>
          <w:rFonts w:ascii="Arial" w:cs="Arial" w:eastAsia="Arial" w:hAnsi="Arial"/>
          <w:color w:val="262626"/>
          <w:sz w:val="22"/>
          <w:szCs w:val="22"/>
        </w:rPr>
        <w:t xml:space="preserve">Managed by AECID with ICO + COFIDES operational support. Replaces FONPRODE under Royal Decree expanding non-reimbursable instruments and pre-feasibility studies.</w:t>
      </w:r>
    </w:p>
    <w:p>
      <w:pPr>
        <w:pStyle w:val="ListParagraph"/>
        <w:numPr>
          <w:ilvl w:val="0"/>
          <w:numId w:val="2"/>
        </w:numPr>
        <w:spacing w:after="40" w:before="40"/>
      </w:pPr>
      <w:r>
        <w:rPr>
          <w:rFonts w:ascii="Arial" w:cs="Arial" w:eastAsia="Arial" w:hAnsi="Arial"/>
          <w:b/>
          <w:bCs/>
          <w:color w:val="262626"/>
          <w:sz w:val="22"/>
          <w:szCs w:val="22"/>
        </w:rPr>
        <w:t xml:space="preserve">COFIDES: </w:t>
      </w:r>
      <w:r>
        <w:rPr>
          <w:rFonts w:ascii="Arial" w:cs="Arial" w:eastAsia="Arial" w:hAnsi="Arial"/>
          <w:color w:val="262626"/>
          <w:sz w:val="22"/>
          <w:szCs w:val="22"/>
        </w:rPr>
        <w:t xml:space="preserve">Spain's DFI, EDFI member, the operational arm for FEDES private-sector deployment. Precedent: €28M FONPRODE + €20M EFSD Guarantee + €2M EU TA + €40M private for African renewable energy.</w:t>
      </w:r>
    </w:p>
    <w:p>
      <w:pPr>
        <w:pStyle w:val="ListParagraph"/>
        <w:numPr>
          <w:ilvl w:val="0"/>
          <w:numId w:val="2"/>
        </w:numPr>
        <w:spacing w:after="40" w:before="40"/>
      </w:pPr>
      <w:r>
        <w:rPr>
          <w:rFonts w:ascii="Arial" w:cs="Arial" w:eastAsia="Arial" w:hAnsi="Arial"/>
          <w:b/>
          <w:bCs/>
          <w:color w:val="262626"/>
          <w:sz w:val="22"/>
          <w:szCs w:val="22"/>
        </w:rPr>
        <w:t xml:space="preserve">FIIAPP / Fundación Carolina: </w:t>
      </w:r>
      <w:r>
        <w:rPr>
          <w:rFonts w:ascii="Arial" w:cs="Arial" w:eastAsia="Arial" w:hAnsi="Arial"/>
          <w:color w:val="262626"/>
          <w:sz w:val="22"/>
          <w:szCs w:val="22"/>
        </w:rPr>
        <w:t xml:space="preserve">Technical assistance and policy framing.</w:t>
      </w:r>
    </w:p>
    <w:p>
      <w:pPr>
        <w:pStyle w:val="ListParagraph"/>
        <w:numPr>
          <w:ilvl w:val="0"/>
          <w:numId w:val="2"/>
        </w:numPr>
        <w:spacing w:after="40" w:before="40"/>
      </w:pPr>
      <w:r>
        <w:rPr>
          <w:rFonts w:ascii="Arial" w:cs="Arial" w:eastAsia="Arial" w:hAnsi="Arial"/>
          <w:b/>
          <w:bCs/>
          <w:color w:val="262626"/>
          <w:sz w:val="22"/>
          <w:szCs w:val="22"/>
        </w:rPr>
        <w:t xml:space="preserve">ICO: </w:t>
      </w:r>
      <w:r>
        <w:rPr>
          <w:rFonts w:ascii="Arial" w:cs="Arial" w:eastAsia="Arial" w:hAnsi="Arial"/>
          <w:color w:val="262626"/>
          <w:sz w:val="22"/>
          <w:szCs w:val="22"/>
        </w:rPr>
        <w:t xml:space="preserve">Co-manages FEDES with COFIDES; relevant for local-currency tranche.</w:t>
      </w:r>
    </w:p>
    <w:p>
      <w:pPr>
        <w:pStyle w:val="ListParagraph"/>
        <w:numPr>
          <w:ilvl w:val="0"/>
          <w:numId w:val="2"/>
        </w:numPr>
        <w:spacing w:after="40" w:before="40"/>
      </w:pPr>
      <w:r>
        <w:rPr>
          <w:rFonts w:ascii="Arial" w:cs="Arial" w:eastAsia="Arial" w:hAnsi="Arial"/>
          <w:b/>
          <w:bCs/>
          <w:color w:val="262626"/>
          <w:sz w:val="22"/>
          <w:szCs w:val="22"/>
        </w:rPr>
        <w:t xml:space="preserve">Casa África: </w:t>
      </w:r>
      <w:r>
        <w:rPr>
          <w:rFonts w:ascii="Arial" w:cs="Arial" w:eastAsia="Arial" w:hAnsi="Arial"/>
          <w:color w:val="262626"/>
          <w:sz w:val="22"/>
          <w:szCs w:val="22"/>
        </w:rPr>
        <w:t xml:space="preserve">Convening + political relationship layer.</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2100"/>
        <w:gridCol w:w="2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Name / Role</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Institution</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Why this person</w:t>
            </w:r>
          </w:p>
        </w:tc>
        <w:tc>
          <w:tcPr>
            <w:tcW w:type="dxa" w:w="2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Approach</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Antón Leis García — Director</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 head of Spanish ODA; runs FEDES</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Direct via Avenida de los Reyes Católicos 4, Madrid; through Spanish development cooperation network</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Eva Granados — Sec State Intl Coop</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MAEC</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Political head of Spanish cooperation</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Via Pablo's Spanish network or political referral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COFIDES CEO</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COFIDES</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 DFI deployment partner</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EDFI Africa network</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Pacto por el Mediterráneo</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gov coordination</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Digital sub-component lead</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Maghreb-EU connectivity angle</w:t>
            </w:r>
          </w:p>
        </w:tc>
      </w:tr>
    </w:tbl>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€3–8M blended package (grant + concessional debt) anchored on the Maghreb POPs and the Spanish-Andalusian university connectivity narrative. Submit within 60 days of project kickoff. Cycle: 6–9 months to LOI; 9–12 months to first disbursement.</w:t>
      </w:r>
    </w:p>
    <w:p>
      <w:pPr>
        <w:pStyle w:val="Heading3"/>
        <w:spacing w:after="120" w:before="240"/>
      </w:pPr>
      <w:r>
        <w:rPr>
          <w:rFonts w:ascii="Arial" w:cs="Arial" w:eastAsia="Arial" w:hAnsi="Arial"/>
          <w:b/>
          <w:bCs/>
          <w:color w:val="1a1a1a"/>
          <w:sz w:val="24"/>
          <w:szCs w:val="24"/>
        </w:rPr>
        <w:t xml:space="preserve">2.3.2 France — AFD / Proparco</w:t>
      </w:r>
    </w:p>
    <w:p>
      <w:pPr>
        <w:spacing w:after="200" w:before="0"/>
      </w:pPr>
      <w:r>
        <w:rPr>
          <w:rFonts w:ascii="Arial" w:cs="Arial" w:eastAsia="Arial" w:hAnsi="Arial"/>
          <w:color w:val="262626"/>
          <w:sz w:val="22"/>
          <w:szCs w:val="22"/>
        </w:rPr>
        <w:t xml:space="preserve">Maghreb plus Francophone Africa is AFD/Proparco's core territory. Songbird operates in 4 Francophone countries (Niger, Mali transit, Tunisia, Morocco) and has direct routes Lagos-Lisbon and Nairobi-Marseille that align with French Mediterranean strategy.</w:t>
      </w:r>
    </w:p>
    <w:p>
      <w:pPr>
        <w:spacing w:after="80" w:before="160"/>
      </w:pPr>
      <w:r>
        <w:rPr>
          <w:rFonts w:ascii="Arial" w:cs="Arial" w:eastAsia="Arial" w:hAnsi="Arial"/>
          <w:b/>
          <w:bCs/>
          <w:i/>
          <w:iCs/>
          <w:color w:val="595959"/>
          <w:sz w:val="22"/>
          <w:szCs w:val="22"/>
        </w:rPr>
        <w:t xml:space="preserve">Instruments</w:t>
      </w:r>
    </w:p>
    <w:p>
      <w:pPr>
        <w:pStyle w:val="ListParagraph"/>
        <w:numPr>
          <w:ilvl w:val="0"/>
          <w:numId w:val="2"/>
        </w:numPr>
        <w:spacing w:after="40" w:before="40"/>
      </w:pPr>
      <w:r>
        <w:rPr>
          <w:rFonts w:ascii="Arial" w:cs="Arial" w:eastAsia="Arial" w:hAnsi="Arial"/>
          <w:b/>
          <w:bCs/>
          <w:color w:val="262626"/>
          <w:sz w:val="22"/>
          <w:szCs w:val="22"/>
        </w:rPr>
        <w:t xml:space="preserve">AFD direct: </w:t>
      </w:r>
      <w:r>
        <w:rPr>
          <w:rFonts w:ascii="Arial" w:cs="Arial" w:eastAsia="Arial" w:hAnsi="Arial"/>
          <w:color w:val="262626"/>
          <w:sz w:val="22"/>
          <w:szCs w:val="22"/>
        </w:rPr>
        <w:t xml:space="preserve">Sovereign-adjacent / public-good piece (schools, regulatory engagement). Loans and grants to governments/public agencies.</w:t>
      </w:r>
    </w:p>
    <w:p>
      <w:pPr>
        <w:pStyle w:val="ListParagraph"/>
        <w:numPr>
          <w:ilvl w:val="0"/>
          <w:numId w:val="2"/>
        </w:numPr>
        <w:spacing w:after="40" w:before="40"/>
      </w:pPr>
      <w:r>
        <w:rPr>
          <w:rFonts w:ascii="Arial" w:cs="Arial" w:eastAsia="Arial" w:hAnsi="Arial"/>
          <w:b/>
          <w:bCs/>
          <w:color w:val="262626"/>
          <w:sz w:val="22"/>
          <w:szCs w:val="22"/>
        </w:rPr>
        <w:t xml:space="preserve">Proparco: </w:t>
      </w:r>
      <w:r>
        <w:rPr>
          <w:rFonts w:ascii="Arial" w:cs="Arial" w:eastAsia="Arial" w:hAnsi="Arial"/>
          <w:color w:val="262626"/>
          <w:sz w:val="22"/>
          <w:szCs w:val="22"/>
        </w:rPr>
        <w:t xml:space="preserve">Commercial piece (covered in Track B private capital).</w:t>
      </w:r>
    </w:p>
    <w:p>
      <w:pPr>
        <w:pStyle w:val="ListParagraph"/>
        <w:numPr>
          <w:ilvl w:val="0"/>
          <w:numId w:val="2"/>
        </w:numPr>
        <w:spacing w:after="40" w:before="40"/>
      </w:pPr>
      <w:r>
        <w:rPr>
          <w:rFonts w:ascii="Arial" w:cs="Arial" w:eastAsia="Arial" w:hAnsi="Arial"/>
          <w:b/>
          <w:bCs/>
          <w:color w:val="262626"/>
          <w:sz w:val="22"/>
          <w:szCs w:val="22"/>
        </w:rPr>
        <w:t xml:space="preserve">Choose Africa: </w:t>
      </w:r>
      <w:r>
        <w:rPr>
          <w:rFonts w:ascii="Arial" w:cs="Arial" w:eastAsia="Arial" w:hAnsi="Arial"/>
          <w:color w:val="262626"/>
          <w:sz w:val="22"/>
          <w:szCs w:val="22"/>
        </w:rPr>
        <w:t xml:space="preserve">SME/scale-up initiative — relevant for Songbird's growth phase.</w:t>
      </w:r>
    </w:p>
    <w:p>
      <w:pPr>
        <w:pStyle w:val="ListParagraph"/>
        <w:numPr>
          <w:ilvl w:val="0"/>
          <w:numId w:val="2"/>
        </w:numPr>
        <w:spacing w:after="40" w:before="40"/>
      </w:pPr>
      <w:r>
        <w:rPr>
          <w:rFonts w:ascii="Arial" w:cs="Arial" w:eastAsia="Arial" w:hAnsi="Arial"/>
          <w:b/>
          <w:bCs/>
          <w:color w:val="262626"/>
          <w:sz w:val="22"/>
          <w:szCs w:val="22"/>
        </w:rPr>
        <w:t xml:space="preserve">Digital Africa / Fuzé: </w:t>
      </w:r>
      <w:r>
        <w:rPr>
          <w:rFonts w:ascii="Arial" w:cs="Arial" w:eastAsia="Arial" w:hAnsi="Arial"/>
          <w:color w:val="262626"/>
          <w:sz w:val="22"/>
          <w:szCs w:val="22"/>
        </w:rPr>
        <w:t xml:space="preserve">Pre-seed (€20k–€100k), too small for project finance but useful for partner companies / supply-chain credibility.</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2100"/>
        <w:gridCol w:w="2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Name / Role</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Institution</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Why this person</w:t>
            </w:r>
          </w:p>
        </w:tc>
        <w:tc>
          <w:tcPr>
            <w:tcW w:type="dxa" w:w="2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Approach</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Rémy Rioux — CEO</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AFD</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Operational head of French ODA</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Via Paris HQ; reference Maghreb-EU digital connectivity priority</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Country office directors</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AFD (Kenya, Morocco, Senegal)</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Write the project proposals locally</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in-country diplomatic / cooperation channels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Mediterranean &amp; Middle East dept</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AFD</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Maghreb-specific strategy</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Reference Medusa cable alignment</w:t>
            </w:r>
          </w:p>
        </w:tc>
      </w:tr>
    </w:tbl>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€3–5M AFD grant/concessional plus Proparco loan/equity already in Track B stack. Cycle: 9–12 months.</w:t>
      </w:r>
    </w:p>
    <w:p>
      <w:pPr>
        <w:pStyle w:val="Heading3"/>
        <w:spacing w:after="120" w:before="240"/>
      </w:pPr>
      <w:r>
        <w:rPr>
          <w:rFonts w:ascii="Arial" w:cs="Arial" w:eastAsia="Arial" w:hAnsi="Arial"/>
          <w:b/>
          <w:bCs/>
          <w:color w:val="1a1a1a"/>
          <w:sz w:val="24"/>
          <w:szCs w:val="24"/>
        </w:rPr>
        <w:t xml:space="preserve">2.3.3 Germany — BMZ / KfW / DEG / GIZ</w:t>
      </w:r>
    </w:p>
    <w:p>
      <w:pPr>
        <w:spacing w:after="200" w:before="0"/>
      </w:pPr>
      <w:r>
        <w:rPr>
          <w:rFonts w:ascii="Arial" w:cs="Arial" w:eastAsia="Arial" w:hAnsi="Arial"/>
          <w:color w:val="262626"/>
          <w:sz w:val="22"/>
          <w:szCs w:val="22"/>
        </w:rPr>
        <w:t xml:space="preserve">BMZ runs the biggest bilateral ODA budget in Europe. Germany co-funded the EU-Smart Africa data governance flagship — Songbird's TEFCA-compatible firewall architecture is directly relevant to that mandate.</w:t>
      </w:r>
    </w:p>
    <w:p>
      <w:pPr>
        <w:spacing w:after="80" w:before="160"/>
      </w:pPr>
      <w:r>
        <w:rPr>
          <w:rFonts w:ascii="Arial" w:cs="Arial" w:eastAsia="Arial" w:hAnsi="Arial"/>
          <w:b/>
          <w:bCs/>
          <w:i/>
          <w:iCs/>
          <w:color w:val="595959"/>
          <w:sz w:val="22"/>
          <w:szCs w:val="22"/>
        </w:rPr>
        <w:t xml:space="preserve">Instruments</w:t>
      </w:r>
    </w:p>
    <w:p>
      <w:pPr>
        <w:pStyle w:val="ListParagraph"/>
        <w:numPr>
          <w:ilvl w:val="0"/>
          <w:numId w:val="2"/>
        </w:numPr>
        <w:spacing w:after="40" w:before="40"/>
      </w:pPr>
      <w:r>
        <w:rPr>
          <w:rFonts w:ascii="Arial" w:cs="Arial" w:eastAsia="Arial" w:hAnsi="Arial"/>
          <w:b/>
          <w:bCs/>
          <w:color w:val="262626"/>
          <w:sz w:val="22"/>
          <w:szCs w:val="22"/>
        </w:rPr>
        <w:t xml:space="preserve">BMZ: </w:t>
      </w:r>
      <w:r>
        <w:rPr>
          <w:rFonts w:ascii="Arial" w:cs="Arial" w:eastAsia="Arial" w:hAnsi="Arial"/>
          <w:color w:val="262626"/>
          <w:sz w:val="22"/>
          <w:szCs w:val="22"/>
        </w:rPr>
        <w:t xml:space="preserve">Strategy and grants — typically larger tickets.</w:t>
      </w:r>
    </w:p>
    <w:p>
      <w:pPr>
        <w:pStyle w:val="ListParagraph"/>
        <w:numPr>
          <w:ilvl w:val="0"/>
          <w:numId w:val="2"/>
        </w:numPr>
        <w:spacing w:after="40" w:before="40"/>
      </w:pPr>
      <w:r>
        <w:rPr>
          <w:rFonts w:ascii="Arial" w:cs="Arial" w:eastAsia="Arial" w:hAnsi="Arial"/>
          <w:b/>
          <w:bCs/>
          <w:color w:val="262626"/>
          <w:sz w:val="22"/>
          <w:szCs w:val="22"/>
        </w:rPr>
        <w:t xml:space="preserve">KfW: </w:t>
      </w:r>
      <w:r>
        <w:rPr>
          <w:rFonts w:ascii="Arial" w:cs="Arial" w:eastAsia="Arial" w:hAnsi="Arial"/>
          <w:color w:val="262626"/>
          <w:sz w:val="22"/>
          <w:szCs w:val="22"/>
        </w:rPr>
        <w:t xml:space="preserve">Concessional loans, blended finance, €100M+ programmes.</w:t>
      </w:r>
    </w:p>
    <w:p>
      <w:pPr>
        <w:pStyle w:val="ListParagraph"/>
        <w:numPr>
          <w:ilvl w:val="0"/>
          <w:numId w:val="2"/>
        </w:numPr>
        <w:spacing w:after="40" w:before="40"/>
      </w:pPr>
      <w:r>
        <w:rPr>
          <w:rFonts w:ascii="Arial" w:cs="Arial" w:eastAsia="Arial" w:hAnsi="Arial"/>
          <w:b/>
          <w:bCs/>
          <w:color w:val="262626"/>
          <w:sz w:val="22"/>
          <w:szCs w:val="22"/>
        </w:rPr>
        <w:t xml:space="preserve">DEG: </w:t>
      </w:r>
      <w:r>
        <w:rPr>
          <w:rFonts w:ascii="Arial" w:cs="Arial" w:eastAsia="Arial" w:hAnsi="Arial"/>
          <w:color w:val="262626"/>
          <w:sz w:val="22"/>
          <w:szCs w:val="22"/>
        </w:rPr>
        <w:t xml:space="preserve">Private-sector equity (Track B overlap).</w:t>
      </w:r>
    </w:p>
    <w:p>
      <w:pPr>
        <w:pStyle w:val="ListParagraph"/>
        <w:numPr>
          <w:ilvl w:val="0"/>
          <w:numId w:val="2"/>
        </w:numPr>
        <w:spacing w:after="40" w:before="40"/>
      </w:pPr>
      <w:r>
        <w:rPr>
          <w:rFonts w:ascii="Arial" w:cs="Arial" w:eastAsia="Arial" w:hAnsi="Arial"/>
          <w:b/>
          <w:bCs/>
          <w:color w:val="262626"/>
          <w:sz w:val="22"/>
          <w:szCs w:val="22"/>
        </w:rPr>
        <w:t xml:space="preserve">GIZ: </w:t>
      </w:r>
      <w:r>
        <w:rPr>
          <w:rFonts w:ascii="Arial" w:cs="Arial" w:eastAsia="Arial" w:hAnsi="Arial"/>
          <w:color w:val="262626"/>
          <w:sz w:val="22"/>
          <w:szCs w:val="22"/>
        </w:rPr>
        <w:t xml:space="preserve">TA, capacity building, policy work.</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2100"/>
        <w:gridCol w:w="2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Name / Role</w:t>
            </w:r>
          </w:p>
        </w:tc>
        <w:tc>
          <w:tcPr>
            <w:tcW w:type="dxa" w:w="1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Institution</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Why this person</w:t>
            </w:r>
          </w:p>
        </w:tc>
        <w:tc>
          <w:tcPr>
            <w:tcW w:type="dxa" w:w="2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Approach</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Bärbel Kofler — Parliamentary State Sec</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BMZ</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Africa-Europe digital focus</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Political referral; reference data sovereignty angle</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European Digital Innovation Bridge leads</w:t>
            </w:r>
          </w:p>
        </w:tc>
        <w:tc>
          <w:tcPr>
            <w:tcW w:type="dxa" w:w="1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GIZ</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Run digital innovation hubs in Africa</w:t>
            </w:r>
          </w:p>
        </w:tc>
        <w:tc>
          <w:tcPr>
            <w:tcW w:type="dxa" w:w="2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Smart Africa partnership</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Sub-Saharan Africa team</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KfW</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Concessional debt for African infra</w:t>
            </w:r>
          </w:p>
        </w:tc>
        <w:tc>
          <w:tcPr>
            <w:tcW w:type="dxa" w:w="2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Through EDFI Africa network</w:t>
            </w:r>
          </w:p>
        </w:tc>
      </w:tr>
    </w:tbl>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€2–5M for the data sovereignty / digital public goods angle. Frame Songbird's TEFCA-like firewall as German-compatible architecture. Cycle: 12–15 months.</w:t>
      </w:r>
    </w:p>
    <w:p>
      <w:pPr>
        <w:pStyle w:val="Heading3"/>
        <w:spacing w:after="120" w:before="240"/>
      </w:pPr>
      <w:r>
        <w:rPr>
          <w:rFonts w:ascii="Arial" w:cs="Arial" w:eastAsia="Arial" w:hAnsi="Arial"/>
          <w:b/>
          <w:bCs/>
          <w:color w:val="1a1a1a"/>
          <w:sz w:val="24"/>
          <w:szCs w:val="24"/>
        </w:rPr>
        <w:t xml:space="preserve">2.3.4 Italy — Mattei Plan</w:t>
      </w:r>
    </w:p>
    <w:p>
      <w:pPr>
        <w:spacing w:after="200" w:before="0"/>
      </w:pPr>
      <w:r>
        <w:rPr>
          <w:rFonts w:ascii="Arial" w:cs="Arial" w:eastAsia="Arial" w:hAnsi="Arial"/>
          <w:color w:val="262626"/>
          <w:sz w:val="22"/>
          <w:szCs w:val="22"/>
        </w:rPr>
        <w:t xml:space="preserve">€5.5B over multi-year, North Africa priority, explicitly aligned with Global Gateway. Italy chairs the G7-Africa dialogue and is leaning hard into Mediterranean digital infrastructure as a sovereignty issue. Songbird's Italian landing (Mazara del Vallo on Medusa) and Maghreb POPs are directly relevant.</w:t>
      </w:r>
    </w:p>
    <w:p>
      <w:pPr>
        <w:spacing w:after="80" w:before="160"/>
      </w:pPr>
      <w:r>
        <w:rPr>
          <w:rFonts w:ascii="Arial" w:cs="Arial" w:eastAsia="Arial" w:hAnsi="Arial"/>
          <w:b/>
          <w:bCs/>
          <w:i/>
          <w:iCs/>
          <w:color w:val="595959"/>
          <w:sz w:val="22"/>
          <w:szCs w:val="22"/>
        </w:rPr>
        <w:t xml:space="preserve">Instruments</w:t>
      </w:r>
    </w:p>
    <w:p>
      <w:pPr>
        <w:pStyle w:val="ListParagraph"/>
        <w:numPr>
          <w:ilvl w:val="0"/>
          <w:numId w:val="2"/>
        </w:numPr>
        <w:spacing w:after="40" w:before="40"/>
      </w:pPr>
      <w:r>
        <w:rPr>
          <w:rFonts w:ascii="Arial" w:cs="Arial" w:eastAsia="Arial" w:hAnsi="Arial"/>
          <w:b/>
          <w:bCs/>
          <w:color w:val="262626"/>
          <w:sz w:val="22"/>
          <w:szCs w:val="22"/>
        </w:rPr>
        <w:t xml:space="preserve">CDP (Cassa Depositi e Prestiti): </w:t>
      </w:r>
      <w:r>
        <w:rPr>
          <w:rFonts w:ascii="Arial" w:cs="Arial" w:eastAsia="Arial" w:hAnsi="Arial"/>
          <w:color w:val="262626"/>
          <w:sz w:val="22"/>
          <w:szCs w:val="22"/>
        </w:rPr>
        <w:t xml:space="preserve">Italy's DFI, deployment vehicle.</w:t>
      </w:r>
    </w:p>
    <w:p>
      <w:pPr>
        <w:pStyle w:val="ListParagraph"/>
        <w:numPr>
          <w:ilvl w:val="0"/>
          <w:numId w:val="2"/>
        </w:numPr>
        <w:spacing w:after="40" w:before="40"/>
      </w:pPr>
      <w:r>
        <w:rPr>
          <w:rFonts w:ascii="Arial" w:cs="Arial" w:eastAsia="Arial" w:hAnsi="Arial"/>
          <w:b/>
          <w:bCs/>
          <w:color w:val="262626"/>
          <w:sz w:val="22"/>
          <w:szCs w:val="22"/>
        </w:rPr>
        <w:t xml:space="preserve">AICS (Italian Cooperation Agency): </w:t>
      </w:r>
      <w:r>
        <w:rPr>
          <w:rFonts w:ascii="Arial" w:cs="Arial" w:eastAsia="Arial" w:hAnsi="Arial"/>
          <w:color w:val="262626"/>
          <w:sz w:val="22"/>
          <w:szCs w:val="22"/>
        </w:rPr>
        <w:t xml:space="preserve">Operational ODA agency.</w:t>
      </w:r>
    </w:p>
    <w:p>
      <w:pPr>
        <w:pStyle w:val="ListParagraph"/>
        <w:numPr>
          <w:ilvl w:val="0"/>
          <w:numId w:val="2"/>
        </w:numPr>
        <w:spacing w:after="40" w:before="40"/>
      </w:pPr>
      <w:r>
        <w:rPr>
          <w:rFonts w:ascii="Arial" w:cs="Arial" w:eastAsia="Arial" w:hAnsi="Arial"/>
          <w:b/>
          <w:bCs/>
          <w:color w:val="262626"/>
          <w:sz w:val="22"/>
          <w:szCs w:val="22"/>
        </w:rPr>
        <w:t xml:space="preserve">MAECI: </w:t>
      </w:r>
      <w:r>
        <w:rPr>
          <w:rFonts w:ascii="Arial" w:cs="Arial" w:eastAsia="Arial" w:hAnsi="Arial"/>
          <w:color w:val="262626"/>
          <w:sz w:val="22"/>
          <w:szCs w:val="22"/>
        </w:rPr>
        <w:t xml:space="preserve">Foreign ministry, Mattei Plan strategy.</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€3–8M, conditional on having the Italian Medusa landing prominent in the project narrative. Cycle: 9–15 months.</w:t>
      </w:r>
    </w:p>
    <w:p>
      <w:pPr>
        <w:pStyle w:val="Heading3"/>
        <w:spacing w:after="120" w:before="240"/>
      </w:pPr>
      <w:r>
        <w:rPr>
          <w:rFonts w:ascii="Arial" w:cs="Arial" w:eastAsia="Arial" w:hAnsi="Arial"/>
          <w:b/>
          <w:bCs/>
          <w:color w:val="1a1a1a"/>
          <w:sz w:val="24"/>
          <w:szCs w:val="24"/>
        </w:rPr>
        <w:t xml:space="preserve">2.3.5 Netherlands — FMO / Invest International</w:t>
      </w:r>
    </w:p>
    <w:p>
      <w:pPr>
        <w:spacing w:after="160" w:before="0"/>
      </w:pPr>
      <w:r>
        <w:rPr>
          <w:rFonts w:ascii="Arial" w:cs="Arial" w:eastAsia="Arial" w:hAnsi="Arial"/>
          <w:color w:val="262626"/>
          <w:sz w:val="22"/>
          <w:szCs w:val="22"/>
        </w:rPr>
        <w:t xml:space="preserve">FMO covered in Track B. Beyond FMO: Invest International (€833M envelope, project preparation, export credit) is underused. Dutch Good Growth Fund typically too small but worth keeping in view.</w:t>
      </w:r>
    </w:p>
    <w:p>
      <w:pPr>
        <w:spacing w:after="80" w:before="160"/>
      </w:pPr>
      <w:r>
        <w:rPr>
          <w:rFonts w:ascii="Arial" w:cs="Arial" w:eastAsia="Arial" w:hAnsi="Arial"/>
          <w:b/>
          <w:bCs/>
          <w:i/>
          <w:iCs/>
          <w:color w:val="595959"/>
          <w:sz w:val="22"/>
          <w:szCs w:val="22"/>
        </w:rPr>
        <w:t xml:space="preserve">Key contact</w:t>
      </w:r>
    </w:p>
    <w:p>
      <w:pPr>
        <w:pStyle w:val="ListParagraph"/>
        <w:numPr>
          <w:ilvl w:val="0"/>
          <w:numId w:val="2"/>
        </w:numPr>
        <w:spacing w:after="40" w:before="40"/>
      </w:pPr>
      <w:r>
        <w:rPr>
          <w:rFonts w:ascii="Arial" w:cs="Arial" w:eastAsia="Arial" w:hAnsi="Arial"/>
          <w:b/>
          <w:bCs/>
          <w:color w:val="262626"/>
          <w:sz w:val="22"/>
          <w:szCs w:val="22"/>
        </w:rPr>
        <w:t xml:space="preserve">Michael Jongeneel — CEO, FMO (Track B overlap)</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€1–3M, especially via Invest International's project preparation window. Cycle: 12 months.</w:t>
      </w:r>
    </w:p>
    <w:p>
      <w:pPr>
        <w:pStyle w:val="Heading3"/>
        <w:spacing w:after="120" w:before="240"/>
      </w:pPr>
      <w:r>
        <w:rPr>
          <w:rFonts w:ascii="Arial" w:cs="Arial" w:eastAsia="Arial" w:hAnsi="Arial"/>
          <w:b/>
          <w:bCs/>
          <w:color w:val="1a1a1a"/>
          <w:sz w:val="24"/>
          <w:szCs w:val="24"/>
        </w:rPr>
        <w:t xml:space="preserve">2.3.6 Nordics — Norfund, Swedfund, Finnfund, NIB</w:t>
      </w:r>
    </w:p>
    <w:p>
      <w:pPr>
        <w:spacing w:after="200" w:before="0"/>
      </w:pPr>
      <w:r>
        <w:rPr>
          <w:rFonts w:ascii="Arial" w:cs="Arial" w:eastAsia="Arial" w:hAnsi="Arial"/>
          <w:color w:val="262626"/>
          <w:sz w:val="22"/>
          <w:szCs w:val="22"/>
        </w:rPr>
        <w:t xml:space="preserve">Smaller but high-quality, mission-aligned, and politically uncontested. Strong climate + digital narrative resonates.</w:t>
      </w:r>
    </w:p>
    <w:p>
      <w:pPr>
        <w:spacing w:after="80" w:before="160"/>
      </w:pPr>
      <w:r>
        <w:rPr>
          <w:rFonts w:ascii="Arial" w:cs="Arial" w:eastAsia="Arial" w:hAnsi="Arial"/>
          <w:b/>
          <w:bCs/>
          <w:i/>
          <w:iCs/>
          <w:color w:val="595959"/>
          <w:sz w:val="22"/>
          <w:szCs w:val="22"/>
        </w:rPr>
        <w:t xml:space="preserve">Instruments</w:t>
      </w:r>
    </w:p>
    <w:p>
      <w:pPr>
        <w:pStyle w:val="ListParagraph"/>
        <w:numPr>
          <w:ilvl w:val="0"/>
          <w:numId w:val="2"/>
        </w:numPr>
        <w:spacing w:after="40" w:before="40"/>
      </w:pPr>
      <w:r>
        <w:rPr>
          <w:rFonts w:ascii="Arial" w:cs="Arial" w:eastAsia="Arial" w:hAnsi="Arial"/>
          <w:b/>
          <w:bCs/>
          <w:color w:val="262626"/>
          <w:sz w:val="22"/>
          <w:szCs w:val="22"/>
        </w:rPr>
        <w:t xml:space="preserve">NIB (Nordic Investment Bank): </w:t>
      </w:r>
      <w:r>
        <w:rPr>
          <w:rFonts w:ascii="Arial" w:cs="Arial" w:eastAsia="Arial" w:hAnsi="Arial"/>
          <w:color w:val="262626"/>
          <w:sz w:val="22"/>
          <w:szCs w:val="22"/>
        </w:rPr>
        <w:t xml:space="preserve">Some non-Nordic work via partnerships.</w:t>
      </w:r>
    </w:p>
    <w:p>
      <w:pPr>
        <w:pStyle w:val="ListParagraph"/>
        <w:numPr>
          <w:ilvl w:val="0"/>
          <w:numId w:val="2"/>
        </w:numPr>
        <w:spacing w:after="40" w:before="40"/>
      </w:pPr>
      <w:r>
        <w:rPr>
          <w:rFonts w:ascii="Arial" w:cs="Arial" w:eastAsia="Arial" w:hAnsi="Arial"/>
          <w:b/>
          <w:bCs/>
          <w:color w:val="262626"/>
          <w:sz w:val="22"/>
          <w:szCs w:val="22"/>
        </w:rPr>
        <w:t xml:space="preserve">Norfund: </w:t>
      </w:r>
      <w:r>
        <w:rPr>
          <w:rFonts w:ascii="Arial" w:cs="Arial" w:eastAsia="Arial" w:hAnsi="Arial"/>
          <w:color w:val="262626"/>
          <w:sz w:val="22"/>
          <w:szCs w:val="22"/>
        </w:rPr>
        <w:t xml:space="preserve">Norwegian DFI; explicit clean energy + digital infra mandate. Aggressive in 2024–25.</w:t>
      </w:r>
    </w:p>
    <w:p>
      <w:pPr>
        <w:pStyle w:val="ListParagraph"/>
        <w:numPr>
          <w:ilvl w:val="0"/>
          <w:numId w:val="2"/>
        </w:numPr>
        <w:spacing w:after="40" w:before="40"/>
      </w:pPr>
      <w:r>
        <w:rPr>
          <w:rFonts w:ascii="Arial" w:cs="Arial" w:eastAsia="Arial" w:hAnsi="Arial"/>
          <w:b/>
          <w:bCs/>
          <w:color w:val="262626"/>
          <w:sz w:val="22"/>
          <w:szCs w:val="22"/>
        </w:rPr>
        <w:t xml:space="preserve">Swedfund: </w:t>
      </w:r>
      <w:r>
        <w:rPr>
          <w:rFonts w:ascii="Arial" w:cs="Arial" w:eastAsia="Arial" w:hAnsi="Arial"/>
          <w:color w:val="262626"/>
          <w:sz w:val="22"/>
          <w:szCs w:val="22"/>
        </w:rPr>
        <w:t xml:space="preserve">Swedish DFI, similar profile.</w:t>
      </w:r>
    </w:p>
    <w:p>
      <w:pPr>
        <w:pStyle w:val="ListParagraph"/>
        <w:numPr>
          <w:ilvl w:val="0"/>
          <w:numId w:val="2"/>
        </w:numPr>
        <w:spacing w:after="40" w:before="40"/>
      </w:pPr>
      <w:r>
        <w:rPr>
          <w:rFonts w:ascii="Arial" w:cs="Arial" w:eastAsia="Arial" w:hAnsi="Arial"/>
          <w:b/>
          <w:bCs/>
          <w:color w:val="262626"/>
          <w:sz w:val="22"/>
          <w:szCs w:val="22"/>
        </w:rPr>
        <w:t xml:space="preserve">Finnfund: </w:t>
      </w:r>
      <w:r>
        <w:rPr>
          <w:rFonts w:ascii="Arial" w:cs="Arial" w:eastAsia="Arial" w:hAnsi="Arial"/>
          <w:color w:val="262626"/>
          <w:sz w:val="22"/>
          <w:szCs w:val="22"/>
        </w:rPr>
        <w:t xml:space="preserve">Smaller, digital infra interest.</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€2–4M across two or three Nordics, especially Norfund. Cycle: 9–12 months each.</w:t>
      </w:r>
    </w:p>
    <w:p>
      <w:pPr>
        <w:pStyle w:val="Heading3"/>
        <w:spacing w:after="120" w:before="240"/>
      </w:pPr>
      <w:r>
        <w:rPr>
          <w:rFonts w:ascii="Arial" w:cs="Arial" w:eastAsia="Arial" w:hAnsi="Arial"/>
          <w:b/>
          <w:bCs/>
          <w:color w:val="1a1a1a"/>
          <w:sz w:val="24"/>
          <w:szCs w:val="24"/>
        </w:rPr>
        <w:t xml:space="preserve">2.3.7 UK — FCDO / PIDG</w:t>
      </w:r>
    </w:p>
    <w:p>
      <w:pPr>
        <w:spacing w:after="160" w:before="0"/>
      </w:pPr>
      <w:r>
        <w:rPr>
          <w:rFonts w:ascii="Arial" w:cs="Arial" w:eastAsia="Arial" w:hAnsi="Arial"/>
          <w:color w:val="262626"/>
          <w:sz w:val="22"/>
          <w:szCs w:val="22"/>
        </w:rPr>
        <w:t xml:space="preserve">BII covered in Track B. Beyond BII: FCDO grants and TA, useful for the school connectivity narrative (UK has been an aid leader on Giga from the beginning). PIDG (Private Infrastructure Development Group, parent of EAIF) — UK is largest donor.</w:t>
      </w:r>
    </w:p>
    <w:p>
      <w:pPr>
        <w:spacing w:after="80" w:before="160"/>
      </w:pPr>
      <w:r>
        <w:rPr>
          <w:rFonts w:ascii="Arial" w:cs="Arial" w:eastAsia="Arial" w:hAnsi="Arial"/>
          <w:b/>
          <w:bCs/>
          <w:i/>
          <w:iCs/>
          <w:color w:val="595959"/>
          <w:sz w:val="22"/>
          <w:szCs w:val="22"/>
        </w:rPr>
        <w:t xml:space="preserve">Realistic ask</w:t>
      </w:r>
    </w:p>
    <w:p>
      <w:pPr>
        <w:spacing w:after="240" w:before="0"/>
      </w:pPr>
      <w:r>
        <w:rPr>
          <w:rFonts w:ascii="Arial" w:cs="Arial" w:eastAsia="Arial" w:hAnsi="Arial"/>
          <w:color w:val="262626"/>
          <w:sz w:val="22"/>
          <w:szCs w:val="22"/>
        </w:rPr>
        <w:t xml:space="preserve">€1–3M FCDO grant for the schools layer; EAIF debt covered in Track B.</w:t>
      </w:r>
    </w:p>
    <w:p>
      <w:pPr>
        <w:pStyle w:val="Heading2"/>
        <w:spacing w:after="160" w:before="320"/>
      </w:pPr>
      <w:r>
        <w:rPr>
          <w:rFonts w:ascii="Arial" w:cs="Arial" w:eastAsia="Arial" w:hAnsi="Arial"/>
          <w:b/>
          <w:bCs/>
          <w:color w:val="1a1a1a"/>
          <w:sz w:val="28"/>
          <w:szCs w:val="28"/>
        </w:rPr>
        <w:t xml:space="preserve">2.4 Tier 3 — Sub-national / regional</w:t>
      </w:r>
    </w:p>
    <w:p>
      <w:pPr>
        <w:spacing w:after="200" w:before="0"/>
      </w:pPr>
      <w:r>
        <w:rPr>
          <w:rFonts w:ascii="Arial" w:cs="Arial" w:eastAsia="Arial" w:hAnsi="Arial"/>
          <w:color w:val="262626"/>
          <w:sz w:val="22"/>
          <w:szCs w:val="22"/>
        </w:rPr>
        <w:t xml:space="preserve">European autonomous regions and city governments run their own development cooperation budgets. Spain especially: Andalucía, Cataluña, País Vasco, Canarias all have multi-million-euro cooperation budgets and they like digital + Africa.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600"/>
        <w:gridCol w:w="2900"/>
        <w:gridCol w:w="2360"/>
      </w:tblGrid>
      <w:tr>
        <w:trPr>
          <w:tblHeader/>
        </w:trPr>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Region</w:t>
            </w:r>
          </w:p>
        </w:tc>
        <w:tc>
          <w:tcPr>
            <w:tcW w:type="dxa" w:w="2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Body</w:t>
            </w:r>
          </w:p>
        </w:tc>
        <w:tc>
          <w:tcPr>
            <w:tcW w:type="dxa" w:w="2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Reason</w:t>
            </w:r>
          </w:p>
        </w:tc>
        <w:tc>
          <w:tcPr>
            <w:tcW w:type="dxa" w:w="23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Realistic ticket</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Canarias</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Casa África / regional government</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Natural Mediterranean-African bridge</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€100k–€500k</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Cataluña</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ACCD (Agència Catalana de Cooperació)</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Barcelona Medusa landing</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€200k–€800k</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Andalucía</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AACID</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Strong Maghreb focus</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€200k–€600k</w:t>
            </w:r>
          </w:p>
        </w:tc>
      </w:tr>
      <w:tr>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Île-de-France / PACA</w:t>
            </w:r>
          </w:p>
        </w:tc>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Regional cooperation</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Marseille Medusa landing</w:t>
            </w:r>
          </w:p>
        </w:tc>
        <w:tc>
          <w:tcPr>
            <w:tcW w:type="dxa" w:w="23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€100k–€400k</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Veneto / Sicilia</w:t>
            </w:r>
          </w:p>
        </w:tc>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regional ODA</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Mediterranean focus</w:t>
            </w:r>
          </w:p>
        </w:tc>
        <w:tc>
          <w:tcPr>
            <w:tcW w:type="dxa" w:w="2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€100k–€300k</w:t>
            </w:r>
          </w:p>
        </w:tc>
      </w:tr>
    </w:tbl>
    <w:p>
      <w:pPr>
        <w:spacing w:after="120" w:before="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Why sub-national matters even though tickets are small</w:t>
            </w:r>
          </w:p>
          <w:p>
            <w:pPr>
              <w:spacing w:after="80" w:before="0"/>
            </w:pPr>
            <w:r>
              <w:rPr>
                <w:rFonts w:ascii="Arial" w:cs="Arial" w:eastAsia="Arial" w:hAnsi="Arial"/>
                <w:i/>
                <w:iCs/>
                <w:color w:val="262626"/>
                <w:sz w:val="22"/>
                <w:szCs w:val="22"/>
              </w:rPr>
              <w:t xml:space="preserve">€100k–€1M tickets unlock political relationships and they sometimes co-finance the same projects the central ODA agency funds. Cataluña funding for Barcelona-related work creates political cover for the central AECID ask. Worth pursuing 2–3 regional asks in parallel.</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2.5 Track A — The full sample stack</w:t>
      </w:r>
    </w:p>
    <w:p>
      <w:pPr>
        <w:spacing w:after="200" w:before="0"/>
      </w:pPr>
      <w:r>
        <w:rPr>
          <w:rFonts w:ascii="Arial" w:cs="Arial" w:eastAsia="Arial" w:hAnsi="Arial"/>
          <w:color w:val="262626"/>
          <w:sz w:val="22"/>
          <w:szCs w:val="22"/>
        </w:rPr>
        <w:t xml:space="preserve">A plausible €23M ($25M-equivalent) public-side stack assembled across the four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2000"/>
        <w:gridCol w:w="2760"/>
      </w:tblGrid>
      <w:tr>
        <w:trPr>
          <w:tblHeader/>
        </w:trPr>
        <w:tc>
          <w:tcPr>
            <w:tcW w:type="dxa" w:w="3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Amount (€M)</w:t>
            </w:r>
          </w:p>
        </w:tc>
        <w:tc>
          <w:tcPr>
            <w:tcW w:type="dxa" w:w="2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Type</w:t>
            </w:r>
          </w:p>
        </w:tc>
        <w:tc>
          <w:tcPr>
            <w:tcW w:type="dxa" w:w="27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Cycle (months)</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loan under EFSD+ guarantee</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10.0</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Concessional debt</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12–18</w:t>
            </w:r>
          </w:p>
        </w:tc>
      </w:tr>
      <w:tr>
        <w:tc>
          <w:tcPr>
            <w:tcW w:type="dxa" w:w="3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blended (€2M grant + €3M concessional)</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 debt</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6–9</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AFD grant + Proparco structuring</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9–12</w:t>
            </w:r>
          </w:p>
        </w:tc>
      </w:tr>
      <w:tr>
        <w:tc>
          <w:tcPr>
            <w:tcW w:type="dxa" w:w="3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German KfW digital sovereignty</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3.0</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or concessional</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12–15</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Mattei Plan</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9–15</w:t>
            </w:r>
          </w:p>
        </w:tc>
      </w:tr>
      <w:tr>
        <w:tc>
          <w:tcPr>
            <w:tcW w:type="dxa" w:w="3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Norfund or Swedfund</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Concessional debt</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9–12</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regional (Canarias + Catalunya)</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w:t>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6–9</w:t>
            </w:r>
          </w:p>
        </w:tc>
      </w:tr>
      <w:tr>
        <w:tc>
          <w:tcPr>
            <w:tcW w:type="dxa" w:w="3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Global Gateway Early-Stage Investment (next call)</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w:t>
            </w:r>
          </w:p>
        </w:tc>
        <w:tc>
          <w:tcPr>
            <w:tcW w:type="dxa" w:w="2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Grant (project prep only)</w:t>
            </w:r>
          </w:p>
        </w:tc>
        <w:tc>
          <w:tcPr>
            <w:tcW w:type="dxa" w:w="27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12–24</w:t>
            </w:r>
          </w:p>
        </w:tc>
      </w:tr>
      <w:tr>
        <w:tc>
          <w:tcPr>
            <w:tcW w:type="dxa" w:w="3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Total</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€23.5M ($25.5M)</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c>
          <w:tcPr>
            <w:tcW w:type="dxa" w:w="2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bl>
    <w:p>
      <w:pPr>
        <w:spacing w:after="120" w:before="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Why this works</w:t>
            </w:r>
          </w:p>
          <w:p>
            <w:pPr>
              <w:spacing w:after="80" w:before="0"/>
            </w:pPr>
            <w:r>
              <w:rPr>
                <w:rFonts w:ascii="Arial" w:cs="Arial" w:eastAsia="Arial" w:hAnsi="Arial"/>
                <w:i/>
                <w:iCs/>
                <w:color w:val="262626"/>
                <w:sz w:val="22"/>
                <w:szCs w:val="22"/>
              </w:rPr>
              <w:t xml:space="preserve">Each cheque is plausible on its own merits. None individually is large. The total covers Songbird's stated need at low/no equity dilution. Mitigation: launch parallel TA / preparation grants first (€100k–€500k each, faster cycles) to demonstrate momentum while big-ticket processes mature.</w:t>
            </w:r>
          </w:p>
        </w:tc>
      </w:tr>
    </w:tbl>
    <w:p>
      <w:pPr>
        <w:pStyle w:val="Heading1"/>
        <w:pageBreakBefore/>
        <w:spacing w:after="200" w:before="240"/>
      </w:pPr>
      <w:r>
        <w:rPr>
          <w:rFonts w:ascii="Arial" w:cs="Arial" w:eastAsia="Arial" w:hAnsi="Arial"/>
          <w:b/>
          <w:bCs/>
          <w:color w:val="0b3d2e"/>
          <w:sz w:val="36"/>
          <w:szCs w:val="36"/>
        </w:rPr>
        <w:t xml:space="preserve">3. Track B — Patient Private Capital</w:t>
      </w:r>
    </w:p>
    <w:p>
      <w:pPr>
        <w:spacing w:after="200" w:before="0"/>
      </w:pPr>
      <w:r>
        <w:rPr>
          <w:rFonts w:ascii="Arial" w:cs="Arial" w:eastAsia="Arial" w:hAnsi="Arial"/>
          <w:color w:val="262626"/>
          <w:sz w:val="22"/>
          <w:szCs w:val="22"/>
        </w:rPr>
        <w:t xml:space="preserve">Patient capital for African digital infrastructure has a deep, specialised investor base. Songbird is a wholesale digital infrastructure play with hard assets, recurring revenue, and a defensible mission narrative — exactly the profile DFIs and specialist African digital infra PE funds back. The closest comparable is the AMN consortium round (Metier + BII + DEG + Proparco + MCB, $36M, 2020) for rural connectivity.</w:t>
      </w:r>
    </w:p>
    <w:p>
      <w:pPr>
        <w:pStyle w:val="Heading2"/>
        <w:spacing w:after="160" w:before="320"/>
      </w:pPr>
      <w:r>
        <w:rPr>
          <w:rFonts w:ascii="Arial" w:cs="Arial" w:eastAsia="Arial" w:hAnsi="Arial"/>
          <w:b/>
          <w:bCs/>
          <w:color w:val="1a1a1a"/>
          <w:sz w:val="28"/>
          <w:szCs w:val="28"/>
        </w:rPr>
        <w:t xml:space="preserve">3.1 The capital architecture</w:t>
      </w:r>
    </w:p>
    <w:p>
      <w:pPr>
        <w:spacing w:after="160" w:before="0"/>
      </w:pPr>
      <w:r>
        <w:rPr>
          <w:rFonts w:ascii="Arial" w:cs="Arial" w:eastAsia="Arial" w:hAnsi="Arial"/>
          <w:color w:val="262626"/>
          <w:sz w:val="22"/>
          <w:szCs w:val="22"/>
        </w:rPr>
        <w:t xml:space="preserve">A 10-year patient capital raise should be stacked, not single-source. The pattern that works for digital infra in Africa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2200"/>
        <w:gridCol w:w="3260"/>
      </w:tblGrid>
      <w:tr>
        <w:trPr>
          <w:tblHeader/>
        </w:trPr>
        <w:tc>
          <w:tcPr>
            <w:tcW w:type="dxa" w:w="2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Layer</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Share of equity</w:t>
            </w:r>
          </w:p>
        </w:tc>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Ticket</w:t>
            </w:r>
          </w:p>
        </w:tc>
        <w:tc>
          <w:tcPr>
            <w:tcW w:type="dxa" w:w="32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Role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Anchor fund (lead PE)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30–40%</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$5–15M</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Drives governance, valuation, co-investor signalling</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DFI direct equity</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30–40%</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$3–10M each (2–3 DFIs)</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Follow specialist leads, bring blended-finance optionality</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Senior concessional debt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1:1 to 1.5:1 equity</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$10–30M (post-revenue)</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IFC, EIB — typical for African infra</w:t>
            </w:r>
          </w:p>
        </w:tc>
      </w:tr>
      <w:tr>
        <w:tc>
          <w:tcPr>
            <w:tcW w:type="dxa" w:w="2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First-loss / guarantee layer</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10–20% of total</w:t>
            </w:r>
          </w:p>
        </w:tc>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Variable</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Sourced from EFSD+ via DFI partners — Track A overlap</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Strategic corporate co-investment</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5–10% (optional)</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Variable</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Telcos/hyperscalers with route synergy</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3.2 Tier 1 — Specialised African digital infra PE</w:t>
      </w:r>
    </w:p>
    <w:p>
      <w:pPr>
        <w:pStyle w:val="Heading3"/>
        <w:spacing w:after="120" w:before="240"/>
      </w:pPr>
      <w:r>
        <w:rPr>
          <w:rFonts w:ascii="Arial" w:cs="Arial" w:eastAsia="Arial" w:hAnsi="Arial"/>
          <w:b/>
          <w:bCs/>
          <w:color w:val="1a1a1a"/>
          <w:sz w:val="24"/>
          <w:szCs w:val="24"/>
        </w:rPr>
        <w:t xml:space="preserve">3.2.1 Convergence Partners — recommended lead</w:t>
      </w:r>
    </w:p>
    <w:p>
      <w:pPr>
        <w:spacing w:after="200" w:before="0"/>
      </w:pPr>
      <w:r>
        <w:rPr>
          <w:rFonts w:ascii="Arial" w:cs="Arial" w:eastAsia="Arial" w:hAnsi="Arial"/>
          <w:color w:val="262626"/>
          <w:sz w:val="22"/>
          <w:szCs w:val="22"/>
        </w:rPr>
        <w:t xml:space="preserve">Largest African PE dedicated to digital infra; $400M+ AUM; $120M first close in 2024 (target $250M) for CPDIF III, with EIB, IFC, BII, DFC, Proparco as LPs. Africa-Europe submarine cable thesis is their core. South Africa-based, with 15 years of African digital infrastructure track record including landmark subsea cable and data centre investments.</w:t>
      </w:r>
    </w:p>
    <w:p>
      <w:pPr>
        <w:spacing w:after="80" w:before="160"/>
      </w:pPr>
      <w:r>
        <w:rPr>
          <w:rFonts w:ascii="Arial" w:cs="Arial" w:eastAsia="Arial" w:hAnsi="Arial"/>
          <w:b/>
          <w:bCs/>
          <w:i/>
          <w:iCs/>
          <w:color w:val="595959"/>
          <w:sz w:val="22"/>
          <w:szCs w:val="22"/>
        </w:rPr>
        <w:t xml:space="preserve">Why Convergence is the recommended lead</w:t>
      </w:r>
    </w:p>
    <w:p>
      <w:pPr>
        <w:pStyle w:val="ListParagraph"/>
        <w:numPr>
          <w:ilvl w:val="0"/>
          <w:numId w:val="2"/>
        </w:numPr>
        <w:spacing w:after="40" w:before="40"/>
      </w:pPr>
      <w:r>
        <w:rPr>
          <w:rFonts w:ascii="Arial" w:cs="Arial" w:eastAsia="Arial" w:hAnsi="Arial"/>
          <w:color w:val="262626"/>
          <w:sz w:val="22"/>
          <w:szCs w:val="22"/>
        </w:rPr>
        <w:t xml:space="preserve">Pre-existing relationships with all the DFIs that Songbird needs in the syndicate.</w:t>
      </w:r>
    </w:p>
    <w:p>
      <w:pPr>
        <w:pStyle w:val="ListParagraph"/>
        <w:numPr>
          <w:ilvl w:val="0"/>
          <w:numId w:val="2"/>
        </w:numPr>
        <w:spacing w:after="40" w:before="40"/>
      </w:pPr>
      <w:r>
        <w:rPr>
          <w:rFonts w:ascii="Arial" w:cs="Arial" w:eastAsia="Arial" w:hAnsi="Arial"/>
          <w:color w:val="262626"/>
          <w:sz w:val="22"/>
          <w:szCs w:val="22"/>
        </w:rPr>
        <w:t xml:space="preserve">Africa-only digital infra is their entire thesis, not a vertical within a broader fund.</w:t>
      </w:r>
    </w:p>
    <w:p>
      <w:pPr>
        <w:pStyle w:val="ListParagraph"/>
        <w:numPr>
          <w:ilvl w:val="0"/>
          <w:numId w:val="2"/>
        </w:numPr>
        <w:spacing w:after="40" w:before="40"/>
      </w:pPr>
      <w:r>
        <w:rPr>
          <w:rFonts w:ascii="Arial" w:cs="Arial" w:eastAsia="Arial" w:hAnsi="Arial"/>
          <w:color w:val="262626"/>
          <w:sz w:val="22"/>
          <w:szCs w:val="22"/>
        </w:rPr>
        <w:t xml:space="preserve">Brandon Doyle (CEO) and Andile Ngcaba (Chairman) have run public-mission-private-capital deals before.</w:t>
      </w:r>
    </w:p>
    <w:p>
      <w:pPr>
        <w:pStyle w:val="ListParagraph"/>
        <w:numPr>
          <w:ilvl w:val="0"/>
          <w:numId w:val="2"/>
        </w:numPr>
        <w:spacing w:after="40" w:before="40"/>
      </w:pPr>
      <w:r>
        <w:rPr>
          <w:rFonts w:ascii="Arial" w:cs="Arial" w:eastAsia="Arial" w:hAnsi="Arial"/>
          <w:color w:val="262626"/>
          <w:sz w:val="22"/>
          <w:szCs w:val="22"/>
        </w:rPr>
        <w:t xml:space="preserve">Track record on similar wholesale models (submarine cable investments).</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Key contacts</w:t>
      </w:r>
    </w:p>
    <w:p>
      <w:pPr>
        <w:pStyle w:val="ListParagraph"/>
        <w:numPr>
          <w:ilvl w:val="0"/>
          <w:numId w:val="2"/>
        </w:numPr>
        <w:spacing w:after="40" w:before="40"/>
      </w:pPr>
      <w:r>
        <w:rPr>
          <w:rFonts w:ascii="Arial" w:cs="Arial" w:eastAsia="Arial" w:hAnsi="Arial"/>
          <w:color w:val="262626"/>
          <w:sz w:val="22"/>
          <w:szCs w:val="22"/>
        </w:rPr>
        <w:t xml:space="preserve">Brandon Doyle — CEO, Convergence Partners (Joburg). Approach: warm intro via Pablo's African digital infra network.</w:t>
      </w:r>
    </w:p>
    <w:p>
      <w:pPr>
        <w:pStyle w:val="ListParagraph"/>
        <w:numPr>
          <w:ilvl w:val="0"/>
          <w:numId w:val="2"/>
        </w:numPr>
        <w:spacing w:after="40" w:before="40"/>
      </w:pPr>
      <w:r>
        <w:rPr>
          <w:rFonts w:ascii="Arial" w:cs="Arial" w:eastAsia="Arial" w:hAnsi="Arial"/>
          <w:color w:val="262626"/>
          <w:sz w:val="22"/>
          <w:szCs w:val="22"/>
        </w:rPr>
        <w:t xml:space="preserve">Andile Ngcaba — Chairman. Approach: at Africa Connect or Capacity Africa conference.</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Indicative terms</w:t>
      </w:r>
    </w:p>
    <w:p>
      <w:pPr>
        <w:spacing w:after="240" w:before="0"/>
      </w:pPr>
      <w:r>
        <w:rPr>
          <w:rFonts w:ascii="Arial" w:cs="Arial" w:eastAsia="Arial" w:hAnsi="Arial"/>
          <w:color w:val="262626"/>
          <w:sz w:val="22"/>
          <w:szCs w:val="22"/>
        </w:rPr>
        <w:t xml:space="preserve">Lead a $5–15M equity round at $30–40M post-money valuation. Standard PE terms: 1× non-participating liquidation preference, board seat, quarterly reporting, 10-year hold horizon, drag-along/tag-along. Foundation governance accommodated by separate constitutional document at the Songbird operating-company level.</w:t>
      </w:r>
    </w:p>
    <w:p>
      <w:pPr>
        <w:pStyle w:val="Heading3"/>
        <w:spacing w:after="120" w:before="240"/>
      </w:pPr>
      <w:r>
        <w:rPr>
          <w:rFonts w:ascii="Arial" w:cs="Arial" w:eastAsia="Arial" w:hAnsi="Arial"/>
          <w:b/>
          <w:bCs/>
          <w:color w:val="1a1a1a"/>
          <w:sz w:val="24"/>
          <w:szCs w:val="24"/>
        </w:rPr>
        <w:t xml:space="preserve">3.2.2 Metier — alternative lead</w:t>
      </w:r>
    </w:p>
    <w:p>
      <w:pPr>
        <w:spacing w:after="200" w:before="0"/>
      </w:pPr>
      <w:r>
        <w:rPr>
          <w:rFonts w:ascii="Arial" w:cs="Arial" w:eastAsia="Arial" w:hAnsi="Arial"/>
          <w:color w:val="262626"/>
          <w:sz w:val="22"/>
          <w:szCs w:val="22"/>
        </w:rPr>
        <w:t xml:space="preserve">Led the AMN consortium ($36M, rural connectivity, 2020) — the most analogous deal Songbird has. South Africa-based. Tshepidi Moremong is the partner who runs infrastructure.</w:t>
      </w:r>
    </w:p>
    <w:p>
      <w:pPr>
        <w:pStyle w:val="Heading3"/>
        <w:spacing w:after="120" w:before="240"/>
      </w:pPr>
      <w:r>
        <w:rPr>
          <w:rFonts w:ascii="Arial" w:cs="Arial" w:eastAsia="Arial" w:hAnsi="Arial"/>
          <w:b/>
          <w:bCs/>
          <w:color w:val="1a1a1a"/>
          <w:sz w:val="24"/>
          <w:szCs w:val="24"/>
        </w:rPr>
        <w:t xml:space="preserve">3.2.3 Helios Investment Partners</w:t>
      </w:r>
    </w:p>
    <w:p>
      <w:pPr>
        <w:spacing w:after="200" w:before="0"/>
      </w:pPr>
      <w:r>
        <w:rPr>
          <w:rFonts w:ascii="Arial" w:cs="Arial" w:eastAsia="Arial" w:hAnsi="Arial"/>
          <w:color w:val="262626"/>
          <w:sz w:val="22"/>
          <w:szCs w:val="22"/>
        </w:rPr>
        <w:t xml:space="preserve">Helios Climate Fund recently took Proparco capital; broader Africa PE platform with telecom history. Tope Lawani and Babatunde Soyoye are co-founders. London/Lagos. Tickets $20M+ — only relevant for an enlarged round.</w:t>
      </w:r>
    </w:p>
    <w:p>
      <w:pPr>
        <w:pStyle w:val="Heading3"/>
        <w:spacing w:after="120" w:before="240"/>
      </w:pPr>
      <w:r>
        <w:rPr>
          <w:rFonts w:ascii="Arial" w:cs="Arial" w:eastAsia="Arial" w:hAnsi="Arial"/>
          <w:b/>
          <w:bCs/>
          <w:color w:val="1a1a1a"/>
          <w:sz w:val="24"/>
          <w:szCs w:val="24"/>
        </w:rPr>
        <w:t xml:space="preserve">3.2.4 AIIM (African Infrastructure Investment Managers)</w:t>
      </w:r>
    </w:p>
    <w:p>
      <w:pPr>
        <w:spacing w:after="200" w:before="0"/>
      </w:pPr>
      <w:r>
        <w:rPr>
          <w:rFonts w:ascii="Arial" w:cs="Arial" w:eastAsia="Arial" w:hAnsi="Arial"/>
          <w:color w:val="262626"/>
          <w:sz w:val="22"/>
          <w:szCs w:val="22"/>
        </w:rPr>
        <w:t xml:space="preserve">$1B raise closed 2024; explicitly expanding to digital infra. ~$2T African pension capital is the LP base they tap. Paul Frankish (Partner) and Olusola Lawson (Co-MD). Cape Town. Tickets $10–30M.</w:t>
      </w:r>
    </w:p>
    <w:p>
      <w:pPr>
        <w:pStyle w:val="Heading3"/>
        <w:spacing w:after="120" w:before="240"/>
      </w:pPr>
      <w:r>
        <w:rPr>
          <w:rFonts w:ascii="Arial" w:cs="Arial" w:eastAsia="Arial" w:hAnsi="Arial"/>
          <w:b/>
          <w:bCs/>
          <w:color w:val="1a1a1a"/>
          <w:sz w:val="24"/>
          <w:szCs w:val="24"/>
        </w:rPr>
        <w:t xml:space="preserve">3.2.5 Alitheia Capital</w:t>
      </w:r>
    </w:p>
    <w:p>
      <w:pPr>
        <w:spacing w:after="240" w:before="0"/>
      </w:pPr>
      <w:r>
        <w:rPr>
          <w:rFonts w:ascii="Arial" w:cs="Arial" w:eastAsia="Arial" w:hAnsi="Arial"/>
          <w:color w:val="262626"/>
          <w:sz w:val="22"/>
          <w:szCs w:val="22"/>
        </w:rPr>
        <w:t xml:space="preserve">Gender-lens, $150M new fund in market for energy + digital infra. Tokunboh Ishmael (Co-founder/MD). Lagos. Tickets $5–15M.</w:t>
      </w:r>
    </w:p>
    <w:p>
      <w:pPr>
        <w:pStyle w:val="Heading2"/>
        <w:spacing w:after="160" w:before="320"/>
      </w:pPr>
      <w:r>
        <w:rPr>
          <w:rFonts w:ascii="Arial" w:cs="Arial" w:eastAsia="Arial" w:hAnsi="Arial"/>
          <w:b/>
          <w:bCs/>
          <w:color w:val="1a1a1a"/>
          <w:sz w:val="28"/>
          <w:szCs w:val="28"/>
        </w:rPr>
        <w:t xml:space="preserve">3.3 Tier 2 — DFI direct equity / debt</w:t>
      </w:r>
    </w:p>
    <w:p>
      <w:pPr>
        <w:spacing w:after="200" w:before="0"/>
      </w:pPr>
      <w:r>
        <w:rPr>
          <w:rFonts w:ascii="Arial" w:cs="Arial" w:eastAsia="Arial" w:hAnsi="Arial"/>
          <w:color w:val="262626"/>
          <w:sz w:val="22"/>
          <w:szCs w:val="22"/>
        </w:rPr>
        <w:t xml:space="preserve">DFIs don't lead Songbird-sized rounds, but they de-risk and signal. They invest alongside specialist managers and into infra projects directly. Their digital infra activity in 2024–25 confirms appetite at Songbird's exact ticket size.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900"/>
        <w:gridCol w:w="2700"/>
        <w:gridCol w:w="2160"/>
      </w:tblGrid>
      <w:tr>
        <w:trPr>
          <w:tblHeader/>
        </w:trPr>
        <w:tc>
          <w:tcPr>
            <w:tcW w:type="dxa" w:w="1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DFI</w:t>
            </w:r>
          </w:p>
        </w:tc>
        <w:tc>
          <w:tcPr>
            <w:tcW w:type="dxa" w:w="2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Recent Songbird-relevant deal</w:t>
            </w:r>
          </w:p>
        </w:tc>
        <w:tc>
          <w:tcPr>
            <w:tcW w:type="dxa" w:w="27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Key contact</w:t>
            </w:r>
          </w:p>
        </w:tc>
        <w:tc>
          <w:tcPr>
            <w:tcW w:type="dxa" w:w="21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ticket</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Proparco (FR)</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$25M anchor in Axian Telecom $600M bond (2025); €30M in Sonatel SLF (2024)</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Françoise Lombard (CEO), Damien Braud (Head PE Africa &amp; ME), Stéphanie Lanfranchi (Head Digital Infra)</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$5–15M</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BII (UK)</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€25M in Sonatel (2024); AMN co-investor</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Leslie Maasdorp (CEO), Chris Chijiutomi (MD, Head of Africa)</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$5–10M</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DEG (DE)</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 in Partech Africa Fund II (2024); AMN co-investor</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Carola Bose (Head of Equity Africa)</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$3–8M</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FMO (NL)</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ARIA platform partner with BII/Proparco</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Michael Jongeneel (CEO), Huib-Jan de Ruijter (CIO Private)</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$3–8M</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IFC</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€32M in Sonatel; Axian Telecom anchor. IDA Private Sector Window Local Currency Facility</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Olivier Buyoya (Regional Dir West Africa), Wale Ayeni (Head Africa VC)</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$5–15M</w:t>
            </w:r>
          </w:p>
        </w:tc>
      </w:tr>
      <w:tr>
        <w:tc>
          <w:tcPr>
            <w:tcW w:type="dxa" w:w="1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(PIDG)</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15-year senior debt; 71 African infra projects; $491M first-loss + $627M senior debt</w:t>
            </w:r>
          </w:p>
        </w:tc>
        <w:tc>
          <w:tcPr>
            <w:tcW w:type="dxa" w:w="27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Martijn Proos (Head of Origination)</w:t>
            </w:r>
          </w:p>
        </w:tc>
        <w:tc>
          <w:tcPr>
            <w:tcW w:type="dxa" w:w="21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$10–30M (senior debt)</w:t>
            </w:r>
          </w:p>
        </w:tc>
      </w:tr>
      <w:tr>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Africa50</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Pan-African infra; $8B AUM aggregate, 32 projects/30 countries</w:t>
            </w:r>
          </w:p>
        </w:tc>
        <w:tc>
          <w:tcPr>
            <w:tcW w:type="dxa" w:w="27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Alain Ebobissé (CEO)</w:t>
            </w:r>
          </w:p>
        </w:tc>
        <w:tc>
          <w:tcPr>
            <w:tcW w:type="dxa" w:w="21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$5–20M</w:t>
            </w:r>
          </w:p>
        </w:tc>
      </w:tr>
    </w:tbl>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How to approach DFIs</w:t>
      </w:r>
    </w:p>
    <w:p>
      <w:pPr>
        <w:pStyle w:val="ListParagraph"/>
        <w:numPr>
          <w:ilvl w:val="0"/>
          <w:numId w:val="2"/>
        </w:numPr>
        <w:spacing w:after="40" w:before="40"/>
      </w:pPr>
      <w:r>
        <w:rPr>
          <w:rFonts w:ascii="Arial" w:cs="Arial" w:eastAsia="Arial" w:hAnsi="Arial"/>
          <w:color w:val="262626"/>
          <w:sz w:val="22"/>
          <w:szCs w:val="22"/>
        </w:rPr>
        <w:t xml:space="preserve">DO NOT approach DFIs as the lead investor. Approach them as the co-investor against an already-circulating term sheet from Convergence or Metier.</w:t>
      </w:r>
    </w:p>
    <w:p>
      <w:pPr>
        <w:pStyle w:val="ListParagraph"/>
        <w:numPr>
          <w:ilvl w:val="0"/>
          <w:numId w:val="2"/>
        </w:numPr>
        <w:spacing w:after="40" w:before="40"/>
      </w:pPr>
      <w:r>
        <w:rPr>
          <w:rFonts w:ascii="Arial" w:cs="Arial" w:eastAsia="Arial" w:hAnsi="Arial"/>
          <w:color w:val="262626"/>
          <w:sz w:val="22"/>
          <w:szCs w:val="22"/>
        </w:rPr>
        <w:t xml:space="preserve">The exception is EAIF, which provides senior debt rather than equity and is approached separately later in the cycle, once Phase 1 revenue is real.</w:t>
      </w:r>
    </w:p>
    <w:p>
      <w:pPr>
        <w:pStyle w:val="ListParagraph"/>
        <w:numPr>
          <w:ilvl w:val="0"/>
          <w:numId w:val="2"/>
        </w:numPr>
        <w:spacing w:after="40" w:before="40"/>
      </w:pPr>
      <w:r>
        <w:rPr>
          <w:rFonts w:ascii="Arial" w:cs="Arial" w:eastAsia="Arial" w:hAnsi="Arial"/>
          <w:color w:val="262626"/>
          <w:sz w:val="22"/>
          <w:szCs w:val="22"/>
        </w:rPr>
        <w:t xml:space="preserve">IFC's IDA Private Sector Window Local Currency Facility is uniquely valuable for managing FX risk on school-side revenue. Worth raising specifically.</w:t>
      </w:r>
    </w:p>
    <w:p>
      <w:pPr>
        <w:pStyle w:val="ListParagraph"/>
        <w:numPr>
          <w:ilvl w:val="0"/>
          <w:numId w:val="2"/>
        </w:numPr>
        <w:spacing w:after="40" w:before="40"/>
      </w:pPr>
      <w:r>
        <w:rPr>
          <w:rFonts w:ascii="Arial" w:cs="Arial" w:eastAsia="Arial" w:hAnsi="Arial"/>
          <w:color w:val="262626"/>
          <w:sz w:val="22"/>
          <w:szCs w:val="22"/>
        </w:rPr>
        <w:t xml:space="preserve">Proparco's 2023 digital infrastructure strategy explicitly prioritises "mobile network operators in frontier markets" — Songbird qualifies despite not being an MNO.</w:t>
      </w:r>
    </w:p>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3.4 Tier 3 — Patient / impact capital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2300"/>
        <w:gridCol w:w="1460"/>
      </w:tblGrid>
      <w:tr>
        <w:trPr>
          <w:tblHeader/>
        </w:trPr>
        <w:tc>
          <w:tcPr>
            <w:tcW w:type="dxa" w:w="26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Profile</w:t>
            </w:r>
          </w:p>
        </w:tc>
        <w:tc>
          <w:tcPr>
            <w:tcW w:type="dxa" w:w="23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Contact</w:t>
            </w:r>
          </w:p>
        </w:tc>
        <w:tc>
          <w:tcPr>
            <w:tcW w:type="dxa" w:w="14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ticket</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Acumen</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Philanthropic patient capital; accepts 91¢/$ blended return; tolerant of frontier markets</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Sasha Dichter / pipeline team. NYC</w:t>
            </w:r>
          </w:p>
        </w:tc>
        <w:tc>
          <w:tcPr>
            <w:tcW w:type="dxa" w:w="1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$0.5–2M</w:t>
            </w:r>
          </w:p>
        </w:tc>
      </w:tr>
      <w:tr>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Skoll Foundation, Omidyar Network</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Mission-aligned. Smaller cheques but unlock donor-friendly narrative for Foundation governance</w:t>
            </w:r>
          </w:p>
        </w:tc>
        <w:tc>
          <w:tcPr>
            <w:tcW w:type="dxa" w:w="23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Direct via website</w:t>
            </w:r>
          </w:p>
        </w:tc>
        <w:tc>
          <w:tcPr>
            <w:tcW w:type="dxa" w:w="1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$0.2–1M</w:t>
            </w:r>
          </w:p>
        </w:tc>
      </w:tr>
      <w:tr>
        <w:tc>
          <w:tcPr>
            <w:tcW w:type="dxa" w:w="2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Family offices (Mediterranean axis)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Less obvious but Pablo's network in Malta/Spain/Italy is non-trivial. Don Luis-style infra exposure with 10yr+ horizons</w:t>
            </w:r>
          </w:p>
        </w:tc>
        <w:tc>
          <w:tcPr>
            <w:tcW w:type="dxa" w:w="23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Direct relationships</w:t>
            </w:r>
          </w:p>
        </w:tc>
        <w:tc>
          <w:tcPr>
            <w:tcW w:type="dxa" w:w="14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$0.5–3M each</w:t>
            </w:r>
          </w:p>
        </w:tc>
      </w:tr>
      <w:tr>
        <w:tc>
          <w:tcPr>
            <w:tcW w:type="dxa" w:w="26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African pension funds (via specialist managers)</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Regulatory unlock 2024–25 (Ghana 5% minimum allocation to PE/VC, Kenya/SA reforms). Access via AIIM, Alitheia</w:t>
            </w:r>
          </w:p>
        </w:tc>
        <w:tc>
          <w:tcPr>
            <w:tcW w:type="dxa" w:w="23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Indirect via Tier 1</w:t>
            </w:r>
          </w:p>
        </w:tc>
        <w:tc>
          <w:tcPr>
            <w:tcW w:type="dxa" w:w="14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Pooled</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3.5 What Track B gives and takes</w:t>
      </w:r>
    </w:p>
    <w:p>
      <w:pPr>
        <w:spacing w:after="80" w:before="160"/>
      </w:pPr>
      <w:r>
        <w:rPr>
          <w:rFonts w:ascii="Arial" w:cs="Arial" w:eastAsia="Arial" w:hAnsi="Arial"/>
          <w:b/>
          <w:bCs/>
          <w:i/>
          <w:iCs/>
          <w:color w:val="595959"/>
          <w:sz w:val="22"/>
          <w:szCs w:val="22"/>
        </w:rPr>
        <w:t xml:space="preserve">Gives</w:t>
      </w:r>
    </w:p>
    <w:p>
      <w:pPr>
        <w:pStyle w:val="ListParagraph"/>
        <w:numPr>
          <w:ilvl w:val="0"/>
          <w:numId w:val="2"/>
        </w:numPr>
        <w:spacing w:after="40" w:before="40"/>
      </w:pPr>
      <w:r>
        <w:rPr>
          <w:rFonts w:ascii="Arial" w:cs="Arial" w:eastAsia="Arial" w:hAnsi="Arial"/>
          <w:color w:val="262626"/>
          <w:sz w:val="22"/>
          <w:szCs w:val="22"/>
        </w:rPr>
        <w:t xml:space="preserve">Permanent capital base</w:t>
      </w:r>
    </w:p>
    <w:p>
      <w:pPr>
        <w:pStyle w:val="ListParagraph"/>
        <w:numPr>
          <w:ilvl w:val="0"/>
          <w:numId w:val="2"/>
        </w:numPr>
        <w:spacing w:after="40" w:before="40"/>
      </w:pPr>
      <w:r>
        <w:rPr>
          <w:rFonts w:ascii="Arial" w:cs="Arial" w:eastAsia="Arial" w:hAnsi="Arial"/>
          <w:color w:val="262626"/>
          <w:sz w:val="22"/>
          <w:szCs w:val="22"/>
        </w:rPr>
        <w:t xml:space="preserve">Governance discipline</w:t>
      </w:r>
    </w:p>
    <w:p>
      <w:pPr>
        <w:pStyle w:val="ListParagraph"/>
        <w:numPr>
          <w:ilvl w:val="0"/>
          <w:numId w:val="2"/>
        </w:numPr>
        <w:spacing w:after="40" w:before="40"/>
      </w:pPr>
      <w:r>
        <w:rPr>
          <w:rFonts w:ascii="Arial" w:cs="Arial" w:eastAsia="Arial" w:hAnsi="Arial"/>
          <w:color w:val="262626"/>
          <w:sz w:val="22"/>
          <w:szCs w:val="22"/>
        </w:rPr>
        <w:t xml:space="preserve">Follow-on capacity (Series B/C if needed)</w:t>
      </w:r>
    </w:p>
    <w:p>
      <w:pPr>
        <w:pStyle w:val="ListParagraph"/>
        <w:numPr>
          <w:ilvl w:val="0"/>
          <w:numId w:val="2"/>
        </w:numPr>
        <w:spacing w:after="40" w:before="40"/>
      </w:pPr>
      <w:r>
        <w:rPr>
          <w:rFonts w:ascii="Arial" w:cs="Arial" w:eastAsia="Arial" w:hAnsi="Arial"/>
          <w:color w:val="262626"/>
          <w:sz w:val="22"/>
          <w:szCs w:val="22"/>
        </w:rPr>
        <w:t xml:space="preserve">FX hedging via local-currency facilities (IFC IDA PSW)</w:t>
      </w:r>
    </w:p>
    <w:p>
      <w:pPr>
        <w:pStyle w:val="ListParagraph"/>
        <w:numPr>
          <w:ilvl w:val="0"/>
          <w:numId w:val="2"/>
        </w:numPr>
        <w:spacing w:after="40" w:before="40"/>
      </w:pPr>
      <w:r>
        <w:rPr>
          <w:rFonts w:ascii="Arial" w:cs="Arial" w:eastAsia="Arial" w:hAnsi="Arial"/>
          <w:color w:val="262626"/>
          <w:sz w:val="22"/>
          <w:szCs w:val="22"/>
        </w:rPr>
        <w:t xml:space="preserve">DFI political cover in difficult jurisdictions</w:t>
      </w:r>
    </w:p>
    <w:p>
      <w:pPr>
        <w:pStyle w:val="ListParagraph"/>
        <w:numPr>
          <w:ilvl w:val="0"/>
          <w:numId w:val="2"/>
        </w:numPr>
        <w:spacing w:after="40" w:before="40"/>
      </w:pPr>
      <w:r>
        <w:rPr>
          <w:rFonts w:ascii="Arial" w:cs="Arial" w:eastAsia="Arial" w:hAnsi="Arial"/>
          <w:color w:val="262626"/>
          <w:sz w:val="22"/>
          <w:szCs w:val="22"/>
        </w:rPr>
        <w:t xml:space="preserve">Brand credibility with anchor customers (hyperscalers, banks)</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Takes</w:t>
      </w:r>
    </w:p>
    <w:p>
      <w:pPr>
        <w:pStyle w:val="ListParagraph"/>
        <w:numPr>
          <w:ilvl w:val="0"/>
          <w:numId w:val="2"/>
        </w:numPr>
        <w:spacing w:after="40" w:before="40"/>
      </w:pPr>
      <w:r>
        <w:rPr>
          <w:rFonts w:ascii="Arial" w:cs="Arial" w:eastAsia="Arial" w:hAnsi="Arial"/>
          <w:color w:val="262626"/>
          <w:sz w:val="22"/>
          <w:szCs w:val="22"/>
        </w:rPr>
        <w:t xml:space="preserve">10–18 month closing cycle</w:t>
      </w:r>
    </w:p>
    <w:p>
      <w:pPr>
        <w:pStyle w:val="ListParagraph"/>
        <w:numPr>
          <w:ilvl w:val="0"/>
          <w:numId w:val="2"/>
        </w:numPr>
        <w:spacing w:after="40" w:before="40"/>
      </w:pPr>
      <w:r>
        <w:rPr>
          <w:rFonts w:ascii="Arial" w:cs="Arial" w:eastAsia="Arial" w:hAnsi="Arial"/>
          <w:color w:val="262626"/>
          <w:sz w:val="22"/>
          <w:szCs w:val="22"/>
        </w:rPr>
        <w:t xml:space="preserve">18–25% IRR expectations from PE leads (DFIs accept 8–12%)</w:t>
      </w:r>
    </w:p>
    <w:p>
      <w:pPr>
        <w:pStyle w:val="ListParagraph"/>
        <w:numPr>
          <w:ilvl w:val="0"/>
          <w:numId w:val="2"/>
        </w:numPr>
        <w:spacing w:after="40" w:before="40"/>
      </w:pPr>
      <w:r>
        <w:rPr>
          <w:rFonts w:ascii="Arial" w:cs="Arial" w:eastAsia="Arial" w:hAnsi="Arial"/>
          <w:color w:val="262626"/>
          <w:sz w:val="22"/>
          <w:szCs w:val="22"/>
        </w:rPr>
        <w:t xml:space="preserve">Board seats and quarterly reporting overhead</w:t>
      </w:r>
    </w:p>
    <w:p>
      <w:pPr>
        <w:pStyle w:val="ListParagraph"/>
        <w:numPr>
          <w:ilvl w:val="0"/>
          <w:numId w:val="2"/>
        </w:numPr>
        <w:spacing w:after="40" w:before="40"/>
      </w:pPr>
      <w:r>
        <w:rPr>
          <w:rFonts w:ascii="Arial" w:cs="Arial" w:eastAsia="Arial" w:hAnsi="Arial"/>
          <w:color w:val="262626"/>
          <w:sz w:val="22"/>
          <w:szCs w:val="22"/>
        </w:rPr>
        <w:t xml:space="preserve">Restrictive negative covenants on tariff policy with Giga (the firewall problem — DFIs will want firewall, but PE leads will want pricing freedom)</w:t>
      </w:r>
    </w:p>
    <w:p>
      <w:pPr>
        <w:pStyle w:val="ListParagraph"/>
        <w:numPr>
          <w:ilvl w:val="0"/>
          <w:numId w:val="2"/>
        </w:numPr>
        <w:spacing w:after="40" w:before="40"/>
      </w:pPr>
      <w:r>
        <w:rPr>
          <w:rFonts w:ascii="Arial" w:cs="Arial" w:eastAsia="Arial" w:hAnsi="Arial"/>
          <w:color w:val="262626"/>
          <w:sz w:val="22"/>
          <w:szCs w:val="22"/>
        </w:rPr>
        <w:t xml:space="preserve">Exit pressure at year 7–9 from PE leads (Foundation governance can accommodate but requires upfront structuring)</w:t>
      </w:r>
    </w:p>
    <w:p>
      <w:pPr>
        <w:pStyle w:val="ListParagraph"/>
        <w:numPr>
          <w:ilvl w:val="0"/>
          <w:numId w:val="2"/>
        </w:numPr>
        <w:spacing w:after="40" w:before="40"/>
      </w:pPr>
      <w:r>
        <w:rPr>
          <w:rFonts w:ascii="Arial" w:cs="Arial" w:eastAsia="Arial" w:hAnsi="Arial"/>
          <w:color w:val="262626"/>
          <w:sz w:val="22"/>
          <w:szCs w:val="22"/>
        </w:rPr>
        <w:t xml:space="preserve">ESG reporting requirements</w:t>
      </w:r>
    </w:p>
    <w:p>
      <w:pPr>
        <w:pStyle w:val="Heading1"/>
        <w:pageBreakBefore/>
        <w:spacing w:after="200" w:before="240"/>
      </w:pPr>
      <w:r>
        <w:rPr>
          <w:rFonts w:ascii="Arial" w:cs="Arial" w:eastAsia="Arial" w:hAnsi="Arial"/>
          <w:b/>
          <w:bCs/>
          <w:color w:val="0b3d2e"/>
          <w:sz w:val="36"/>
          <w:szCs w:val="36"/>
        </w:rPr>
        <w:t xml:space="preserve">4. Sequencing &amp; Execution</w:t>
      </w:r>
    </w:p>
    <w:p>
      <w:pPr>
        <w:spacing w:after="200" w:before="0"/>
      </w:pPr>
      <w:r>
        <w:rPr>
          <w:rFonts w:ascii="Arial" w:cs="Arial" w:eastAsia="Arial" w:hAnsi="Arial"/>
          <w:color w:val="262626"/>
          <w:sz w:val="22"/>
          <w:szCs w:val="22"/>
        </w:rPr>
        <w:t xml:space="preserve">The single most important execution decision is sequencing the two tracks correctly. Public capital first, then patient capital. This is counterintuitive — most companies raise equity first and use it to attract debt and grants — but it is correct for Songbird because the Foundation+firewall structure is the asset, and that structure is verified by donor acceptance, not by investor enthusiasm.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The two-track sequence — read this carefully</w:t>
            </w:r>
          </w:p>
          <w:p>
            <w:pPr>
              <w:spacing w:after="80" w:before="0"/>
            </w:pPr>
            <w:r>
              <w:rPr>
                <w:rFonts w:ascii="Arial" w:cs="Arial" w:eastAsia="Arial" w:hAnsi="Arial"/>
                <w:color w:val="262626"/>
                <w:sz w:val="22"/>
                <w:szCs w:val="22"/>
              </w:rPr>
              <w:t xml:space="preserve">Months 0–3: Anchor public stack with AECID/FEDES. Open patient capital conversations as positioning, not as fundraise.</w:t>
            </w:r>
          </w:p>
          <w:p>
            <w:pPr>
              <w:spacing w:after="80" w:before="0"/>
            </w:pPr>
            <w:r>
              <w:rPr>
                <w:rFonts w:ascii="Arial" w:cs="Arial" w:eastAsia="Arial" w:hAnsi="Arial"/>
                <w:color w:val="262626"/>
                <w:sz w:val="22"/>
                <w:szCs w:val="22"/>
              </w:rPr>
              <w:t xml:space="preserve">Months 3–9: Secure FEDES LOI. Use it to anchor EIB Global. Open parallel tracks with AFD, Italian CDP, Nordic DFIs. Pre-pitch Convergence/EAIF/Proparco with the public-stack term sheet in hand.</w:t>
            </w:r>
          </w:p>
          <w:p>
            <w:pPr>
              <w:spacing w:after="80" w:before="0"/>
            </w:pPr>
            <w:r>
              <w:rPr>
                <w:rFonts w:ascii="Arial" w:cs="Arial" w:eastAsia="Arial" w:hAnsi="Arial"/>
                <w:color w:val="262626"/>
                <w:sz w:val="22"/>
                <w:szCs w:val="22"/>
              </w:rPr>
              <w:t xml:space="preserve">Months 9–18: First close on public stack (~€10–15M). Convergence-led PE round closes at $5–12M against demonstrated public commitment. EAIF senior debt closes last, once Phase 1 revenue is real.</w:t>
            </w:r>
          </w:p>
          <w:p>
            <w:pPr>
              <w:spacing w:after="80" w:before="0"/>
            </w:pPr>
            <w:r>
              <w:rPr>
                <w:rFonts w:ascii="Arial" w:cs="Arial" w:eastAsia="Arial" w:hAnsi="Arial"/>
                <w:i/>
                <w:iCs/>
                <w:color w:val="595959"/>
                <w:sz w:val="20"/>
                <w:szCs w:val="20"/>
              </w:rPr>
              <w:t xml:space="preserve">Total raised by month 18: $25–28M without equity dilution above 30%.</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4.1 Detailed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3000"/>
        <w:gridCol w:w="2900"/>
        <w:gridCol w:w="2660"/>
      </w:tblGrid>
      <w:tr>
        <w:trPr>
          <w:tblHeader/>
        </w:trPr>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Month</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Public (Track A)</w:t>
            </w:r>
          </w:p>
        </w:tc>
        <w:tc>
          <w:tcPr>
            <w:tcW w:type="dxa" w:w="29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Private (Track B)</w:t>
            </w:r>
          </w:p>
        </w:tc>
        <w:tc>
          <w:tcPr>
            <w:tcW w:type="dxa" w:w="2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Status check</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M0</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Foundation entity formed (Switzerland)</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Founder commitments</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Legal setup</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proposal drafted</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Investor deck v1 (this plan)</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M2</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 submission; Casa África relationship opened</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First Convergence meeting</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M3</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pre-screening; AFD initial meeting</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Proparco / BII initial meetings</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$2M LOIs target</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M4</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MAECI / Mattei Plan initial meeting</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Term sheet negotiations begin</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M5</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FEDES letter of interest secured</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indicative term sheet</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$5M signed LOIs</w:t>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M6</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application submitted; project prep grant</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Co-investor identification (Proparco, BII)</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M7</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AFD grant proposal submitted</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DFI parallel negotiations</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M8</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German KfW conversations begin</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Anchor tenant (Giga) agreement signed</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$8M LOIs target</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M9</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CDP submission</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term sheet finalised</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M10</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 first disbursement; EIB Global committee approval</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Convergence-led Series A first close</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$15M committed</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M11</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drawdown; Nordic DFI commits</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Proparco / BII confirmed in syndicate</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M12</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EU Global Gateway Early-Stage Investment (if next call)</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Series A complete</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$22M committed</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M13</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Mattei Plan committee</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senior debt term sheet</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M14</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regional confirms (Canarias, Cataluña)</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due diligence</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$25M committed</w:t>
            </w:r>
          </w:p>
        </w:tc>
      </w:tr>
      <w:tr>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M15</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KfW commits (data sovereignty programme)</w:t>
            </w:r>
          </w:p>
        </w:tc>
        <w:tc>
          <w:tcPr>
            <w:tcW w:type="dxa" w:w="29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financial close</w:t>
            </w:r>
          </w:p>
        </w:tc>
        <w:tc>
          <w:tcPr>
            <w:tcW w:type="dxa" w:w="2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
            </w:r>
          </w:p>
        </w:tc>
      </w:tr>
      <w:tr>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M18</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All public tranches drawing</w:t>
            </w:r>
          </w:p>
        </w:tc>
        <w:tc>
          <w:tcPr>
            <w:tcW w:type="dxa" w:w="29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first drawdown</w:t>
            </w:r>
          </w:p>
        </w:tc>
        <w:tc>
          <w:tcPr>
            <w:tcW w:type="dxa" w:w="2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$25–28M complete</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4.2 Critical path risks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4860"/>
      </w:tblGrid>
      <w:tr>
        <w:trPr>
          <w:tblHeader/>
        </w:trPr>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Risk</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Likelihood</w:t>
            </w:r>
          </w:p>
        </w:tc>
        <w:tc>
          <w:tcPr>
            <w:tcW w:type="dxa" w:w="48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Mitigation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cycle slips past 9 months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4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Parallel application to Italian CDP and German KfW; either can substitute as anchor</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loses interest</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w:t>
            </w:r>
          </w:p>
        </w:tc>
        <w:tc>
          <w:tcPr>
            <w:tcW w:type="dxa" w:w="4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Maintain warm conversation with Metier as backup lead</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requires more co-investment than expected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4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Pre-commit Proparco for parallel co-investment letter</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political change disrupts AECID priorities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Low-Med</w:t>
            </w:r>
          </w:p>
        </w:tc>
        <w:tc>
          <w:tcPr>
            <w:tcW w:type="dxa" w:w="4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FEDES is statutory and survives political cycles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 due diligence reveals model gaps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4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Use v2 financial model (delivered with this strategy) as response prep</w:t>
            </w:r>
          </w:p>
        </w:tc>
      </w:tr>
      <w:tr>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Foundation governance worries dilute investors</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48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Pre-circulate Foundation constitution; Wilson Sonsini structuring memo</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Anchor tenant (Giga) commitment delayed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Medium</w:t>
            </w:r>
          </w:p>
        </w:tc>
        <w:tc>
          <w:tcPr>
            <w:tcW w:type="dxa" w:w="48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Bridge with hyperscaler or sovereign data commitment as alternative anchor</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4.3 Materials checklist</w:t>
      </w:r>
    </w:p>
    <w:p>
      <w:pPr>
        <w:spacing w:after="160" w:before="0"/>
      </w:pPr>
      <w:r>
        <w:rPr>
          <w:rFonts w:ascii="Arial" w:cs="Arial" w:eastAsia="Arial" w:hAnsi="Arial"/>
          <w:color w:val="262626"/>
          <w:sz w:val="22"/>
          <w:szCs w:val="22"/>
        </w:rPr>
        <w:t xml:space="preserve">What needs to be ready before each track opens:</w:t>
      </w:r>
    </w:p>
    <w:p>
      <w:pPr>
        <w:spacing w:after="80" w:before="160"/>
      </w:pPr>
      <w:r>
        <w:rPr>
          <w:rFonts w:ascii="Arial" w:cs="Arial" w:eastAsia="Arial" w:hAnsi="Arial"/>
          <w:b/>
          <w:bCs/>
          <w:i/>
          <w:iCs/>
          <w:color w:val="595959"/>
          <w:sz w:val="22"/>
          <w:szCs w:val="22"/>
        </w:rPr>
        <w:t xml:space="preserve">Before Track A opens (M0)</w:t>
      </w:r>
    </w:p>
    <w:p>
      <w:pPr>
        <w:pStyle w:val="ListParagraph"/>
        <w:numPr>
          <w:ilvl w:val="0"/>
          <w:numId w:val="2"/>
        </w:numPr>
        <w:spacing w:after="40" w:before="40"/>
      </w:pPr>
      <w:r>
        <w:rPr>
          <w:rFonts w:ascii="Arial" w:cs="Arial" w:eastAsia="Arial" w:hAnsi="Arial"/>
          <w:color w:val="262626"/>
          <w:sz w:val="22"/>
          <w:szCs w:val="22"/>
        </w:rPr>
        <w:t xml:space="preserve">Songbird business plan (this document set)</w:t>
      </w:r>
    </w:p>
    <w:p>
      <w:pPr>
        <w:pStyle w:val="ListParagraph"/>
        <w:numPr>
          <w:ilvl w:val="0"/>
          <w:numId w:val="2"/>
        </w:numPr>
        <w:spacing w:after="40" w:before="40"/>
      </w:pPr>
      <w:r>
        <w:rPr>
          <w:rFonts w:ascii="Arial" w:cs="Arial" w:eastAsia="Arial" w:hAnsi="Arial"/>
          <w:color w:val="262626"/>
          <w:sz w:val="22"/>
          <w:szCs w:val="22"/>
        </w:rPr>
        <w:t xml:space="preserve">Financial model v2 (accompanying Excel)</w:t>
      </w:r>
    </w:p>
    <w:p>
      <w:pPr>
        <w:pStyle w:val="ListParagraph"/>
        <w:numPr>
          <w:ilvl w:val="0"/>
          <w:numId w:val="2"/>
        </w:numPr>
        <w:spacing w:after="40" w:before="40"/>
      </w:pPr>
      <w:r>
        <w:rPr>
          <w:rFonts w:ascii="Arial" w:cs="Arial" w:eastAsia="Arial" w:hAnsi="Arial"/>
          <w:color w:val="262626"/>
          <w:sz w:val="22"/>
          <w:szCs w:val="22"/>
        </w:rPr>
        <w:t xml:space="preserve">Foundation governance constitution (draft acceptable)</w:t>
      </w:r>
    </w:p>
    <w:p>
      <w:pPr>
        <w:pStyle w:val="ListParagraph"/>
        <w:numPr>
          <w:ilvl w:val="0"/>
          <w:numId w:val="2"/>
        </w:numPr>
        <w:spacing w:after="40" w:before="40"/>
      </w:pPr>
      <w:r>
        <w:rPr>
          <w:rFonts w:ascii="Arial" w:cs="Arial" w:eastAsia="Arial" w:hAnsi="Arial"/>
          <w:color w:val="262626"/>
          <w:sz w:val="22"/>
          <w:szCs w:val="22"/>
        </w:rPr>
        <w:t xml:space="preserve">Letter of support from UNICEF/Giga</w:t>
      </w:r>
    </w:p>
    <w:p>
      <w:pPr>
        <w:pStyle w:val="ListParagraph"/>
        <w:numPr>
          <w:ilvl w:val="0"/>
          <w:numId w:val="2"/>
        </w:numPr>
        <w:spacing w:after="40" w:before="40"/>
      </w:pPr>
      <w:r>
        <w:rPr>
          <w:rFonts w:ascii="Arial" w:cs="Arial" w:eastAsia="Arial" w:hAnsi="Arial"/>
          <w:color w:val="262626"/>
          <w:sz w:val="22"/>
          <w:szCs w:val="22"/>
        </w:rPr>
        <w:t xml:space="preserve">Country-level data: schools mapped, projected schools connected, by country</w:t>
      </w:r>
    </w:p>
    <w:p>
      <w:pPr>
        <w:pStyle w:val="ListParagraph"/>
        <w:numPr>
          <w:ilvl w:val="0"/>
          <w:numId w:val="2"/>
        </w:numPr>
        <w:spacing w:after="40" w:before="40"/>
      </w:pPr>
      <w:r>
        <w:rPr>
          <w:rFonts w:ascii="Arial" w:cs="Arial" w:eastAsia="Arial" w:hAnsi="Arial"/>
          <w:color w:val="262626"/>
          <w:sz w:val="22"/>
          <w:szCs w:val="22"/>
        </w:rPr>
        <w:t xml:space="preserve">Pablo CV + founding team credentials</w:t>
      </w:r>
    </w:p>
    <w:p>
      <w:pPr>
        <w:spacing w:after="120" w:before="0"/>
      </w:pPr>
      <w:r>
        <w:rPr>
          <w:sz w:val="4"/>
          <w:szCs w:val="4"/>
        </w:rPr>
        <w:t xml:space="preserve"/>
      </w:r>
    </w:p>
    <w:p>
      <w:pPr>
        <w:spacing w:after="80" w:before="160"/>
      </w:pPr>
      <w:r>
        <w:rPr>
          <w:rFonts w:ascii="Arial" w:cs="Arial" w:eastAsia="Arial" w:hAnsi="Arial"/>
          <w:b/>
          <w:bCs/>
          <w:i/>
          <w:iCs/>
          <w:color w:val="595959"/>
          <w:sz w:val="22"/>
          <w:szCs w:val="22"/>
        </w:rPr>
        <w:t xml:space="preserve">Before Track B opens (M1)</w:t>
      </w:r>
    </w:p>
    <w:p>
      <w:pPr>
        <w:pStyle w:val="ListParagraph"/>
        <w:numPr>
          <w:ilvl w:val="0"/>
          <w:numId w:val="2"/>
        </w:numPr>
        <w:spacing w:after="40" w:before="40"/>
      </w:pPr>
      <w:r>
        <w:rPr>
          <w:rFonts w:ascii="Arial" w:cs="Arial" w:eastAsia="Arial" w:hAnsi="Arial"/>
          <w:color w:val="262626"/>
          <w:sz w:val="22"/>
          <w:szCs w:val="22"/>
        </w:rPr>
        <w:t xml:space="preserve">Investor pitch deck (20–25 slides) derived from this business plan</w:t>
      </w:r>
    </w:p>
    <w:p>
      <w:pPr>
        <w:pStyle w:val="ListParagraph"/>
        <w:numPr>
          <w:ilvl w:val="0"/>
          <w:numId w:val="2"/>
        </w:numPr>
        <w:spacing w:after="40" w:before="40"/>
      </w:pPr>
      <w:r>
        <w:rPr>
          <w:rFonts w:ascii="Arial" w:cs="Arial" w:eastAsia="Arial" w:hAnsi="Arial"/>
          <w:color w:val="262626"/>
          <w:sz w:val="22"/>
          <w:szCs w:val="22"/>
        </w:rPr>
        <w:t xml:space="preserve">Cap table with proposed pre/post-money</w:t>
      </w:r>
    </w:p>
    <w:p>
      <w:pPr>
        <w:pStyle w:val="ListParagraph"/>
        <w:numPr>
          <w:ilvl w:val="0"/>
          <w:numId w:val="2"/>
        </w:numPr>
        <w:spacing w:after="40" w:before="40"/>
      </w:pPr>
      <w:r>
        <w:rPr>
          <w:rFonts w:ascii="Arial" w:cs="Arial" w:eastAsia="Arial" w:hAnsi="Arial"/>
          <w:color w:val="262626"/>
          <w:sz w:val="22"/>
          <w:szCs w:val="22"/>
        </w:rPr>
        <w:t xml:space="preserve">Cash flow forecast (v2 model, multiple scenarios)</w:t>
      </w:r>
    </w:p>
    <w:p>
      <w:pPr>
        <w:pStyle w:val="ListParagraph"/>
        <w:numPr>
          <w:ilvl w:val="0"/>
          <w:numId w:val="2"/>
        </w:numPr>
        <w:spacing w:after="40" w:before="40"/>
      </w:pPr>
      <w:r>
        <w:rPr>
          <w:rFonts w:ascii="Arial" w:cs="Arial" w:eastAsia="Arial" w:hAnsi="Arial"/>
          <w:color w:val="262626"/>
          <w:sz w:val="22"/>
          <w:szCs w:val="22"/>
        </w:rPr>
        <w:t xml:space="preserve">Comparable transactions deck (AMN, Sonatel, Axian)</w:t>
      </w:r>
    </w:p>
    <w:p>
      <w:pPr>
        <w:pStyle w:val="ListParagraph"/>
        <w:numPr>
          <w:ilvl w:val="0"/>
          <w:numId w:val="2"/>
        </w:numPr>
        <w:spacing w:after="40" w:before="40"/>
      </w:pPr>
      <w:r>
        <w:rPr>
          <w:rFonts w:ascii="Arial" w:cs="Arial" w:eastAsia="Arial" w:hAnsi="Arial"/>
          <w:color w:val="262626"/>
          <w:sz w:val="22"/>
          <w:szCs w:val="22"/>
        </w:rPr>
        <w:t xml:space="preserve">Reference list — Giga leadership, Wilson Sonsini, anchor partners</w:t>
      </w:r>
    </w:p>
    <w:p>
      <w:pPr>
        <w:pStyle w:val="ListParagraph"/>
        <w:numPr>
          <w:ilvl w:val="0"/>
          <w:numId w:val="2"/>
        </w:numPr>
        <w:spacing w:after="40" w:before="40"/>
      </w:pPr>
      <w:r>
        <w:rPr>
          <w:rFonts w:ascii="Arial" w:cs="Arial" w:eastAsia="Arial" w:hAnsi="Arial"/>
          <w:color w:val="262626"/>
          <w:sz w:val="22"/>
          <w:szCs w:val="22"/>
        </w:rPr>
        <w:t xml:space="preserve">Track A letters of interest as of date of approach (LOIs from AECID/EIB anchor the deck)</w:t>
      </w:r>
    </w:p>
    <w:p>
      <w:pPr>
        <w:pStyle w:val="Heading1"/>
        <w:pageBreakBefore/>
        <w:spacing w:after="200" w:before="240"/>
      </w:pPr>
      <w:r>
        <w:rPr>
          <w:rFonts w:ascii="Arial" w:cs="Arial" w:eastAsia="Arial" w:hAnsi="Arial"/>
          <w:b/>
          <w:bCs/>
          <w:color w:val="0b3d2e"/>
          <w:sz w:val="36"/>
          <w:szCs w:val="36"/>
        </w:rPr>
        <w:t xml:space="preserve">5. Scenarios</w:t>
      </w:r>
    </w:p>
    <w:p>
      <w:pPr>
        <w:spacing w:after="200" w:before="0"/>
      </w:pPr>
      <w:r>
        <w:rPr>
          <w:rFonts w:ascii="Arial" w:cs="Arial" w:eastAsia="Arial" w:hAnsi="Arial"/>
          <w:color w:val="262626"/>
          <w:sz w:val="22"/>
          <w:szCs w:val="22"/>
        </w:rPr>
        <w:t xml:space="preserve">Three scenarios mapped against the v0.4 financial model and the v2 simulator, each with implications for fund-raising sequencing.</w:t>
      </w:r>
    </w:p>
    <w:p>
      <w:pPr>
        <w:pStyle w:val="Heading2"/>
        <w:spacing w:after="160" w:before="320"/>
      </w:pPr>
      <w:r>
        <w:rPr>
          <w:rFonts w:ascii="Arial" w:cs="Arial" w:eastAsia="Arial" w:hAnsi="Arial"/>
          <w:b/>
          <w:bCs/>
          <w:color w:val="1a1a1a"/>
          <w:sz w:val="28"/>
          <w:szCs w:val="28"/>
        </w:rPr>
        <w:t xml:space="preserve">5.1 Scenario A — Minimum Viable (Phase 1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Value</w:t>
            </w:r>
          </w:p>
        </w:tc>
        <w:tc>
          <w:tcPr>
            <w:tcW w:type="dxa" w:w="3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POPs in operation</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 (Nairobi, Mombasa, Kampala, Lagos)</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Highest school density + best route economics</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Peak funding need</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$8–10M</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Lease tail; anchor prepayment from Giga</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Capex</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Mostly equipment + 2–3 anchor IRUs</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Funding stack</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$5M grant + $3M concessional debt + $2M equity</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 senior debt; minimal dilution</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Public sources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 + EIB Global concessional + Italian project prep</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€7–9M</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Private sources</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pre-seed or founder + Proparco</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$2–3M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by 2029</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~50,000</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Kenya + Uganda + Nigeria</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Revenue 2029</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$1–1.5M</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Mostly schools; some commercial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Payback</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4–5 years</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Lease-led model reaches breakeven faster</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5.2 Scenario B — Patient Capital Full Rollout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Value</w:t>
            </w:r>
          </w:p>
        </w:tc>
        <w:tc>
          <w:tcPr>
            <w:tcW w:type="dxa" w:w="3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POPs in operation</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Full v0.4 footprint</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Peak funding need</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$15–18M (with Tier 1 ideas)</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Substantially below v0.4 $25.5M base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Capex</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$15–17M</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50/50 IRU/lease mix on tail routes</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Funding stack</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$8M grant + $12M senior debt + $10M equity</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Standard DFI-style stack</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Public sources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 + AFD + KfW + EIB Global</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€7–10M</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Private sources</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Convergence-led + Proparco + BII + EAIF</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$22M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by 2029</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173,000 (Giga TAM cap)</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Full Phase 1+2 capacity</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Revenue 2029</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$3.5–5M (with Tier 1 ideas)</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 CDN + first hyperscaler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Payback</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5–6 years</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EBITDA-positive by 2029</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5.3 Scenario C — EU Public Maximum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Parameter</w:t>
            </w:r>
          </w:p>
        </w:tc>
        <w:tc>
          <w:tcPr>
            <w:tcW w:type="dxa" w:w="30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Value</w:t>
            </w:r>
          </w:p>
        </w:tc>
        <w:tc>
          <w:tcPr>
            <w:tcW w:type="dxa" w:w="35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Note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POPs in operation</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Full v0.4 footprint</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Peak funding need</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$22–25M</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Conservative pricing; less commercial mix</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Capex</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$21.8M</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v0.4 base case</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Funding stack</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$23M grant + $8M concessional debt + $2M equity</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Heavy public, minimal dilution</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Public sources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 AECID + AFD + KfW + Mattei + Nordics + Global Gateway</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€23.5M</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Private sources</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Founder + Foundation reserves</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Schools by 2029</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173,000</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Full Phase 1+2 capacity</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Revenue 2029</w:t>
            </w:r>
          </w:p>
        </w:tc>
        <w:tc>
          <w:tcPr>
            <w:tcW w:type="dxa" w:w="30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$2.2M</w:t>
            </w:r>
          </w:p>
        </w:tc>
        <w:tc>
          <w:tcPr>
            <w:tcW w:type="dxa" w:w="35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v0.4 base case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Payback</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Never within 10y</w:t>
            </w:r>
          </w:p>
        </w:tc>
        <w:tc>
          <w:tcPr>
            <w:tcW w:type="dxa" w:w="3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But Foundation hold horizon is indefinite</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5.4 Recommended scenario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Recommendation: Hybrid weighted 60/40 toward public</w:t>
            </w:r>
          </w:p>
          <w:p>
            <w:pPr>
              <w:spacing w:after="80" w:before="0"/>
            </w:pPr>
            <w:r>
              <w:rPr>
                <w:rFonts w:ascii="Arial" w:cs="Arial" w:eastAsia="Arial" w:hAnsi="Arial"/>
                <w:color w:val="262626"/>
                <w:sz w:val="22"/>
                <w:szCs w:val="22"/>
              </w:rPr>
              <w:t xml:space="preserve">Start with Scenario A (Phase 1 Minimum Viable) as the first 12-month execution plan. Use Phase 1 traction to upgrade to Scenario B (Patient Capital Full Rollout) over months 12–24.</w:t>
            </w:r>
          </w:p>
          <w:p>
            <w:pPr>
              <w:spacing w:after="80" w:before="0"/>
            </w:pPr>
            <w:r>
              <w:rPr>
                <w:rFonts w:ascii="Arial" w:cs="Arial" w:eastAsia="Arial" w:hAnsi="Arial"/>
                <w:i/>
                <w:iCs/>
                <w:color w:val="595959"/>
                <w:sz w:val="20"/>
                <w:szCs w:val="20"/>
              </w:rPr>
              <w:t xml:space="preserve">This avoids the trap of either trying to close $25M with no operational evidence (raises that fail at month 8 when DFIs demand revenue traction), or under-funding and ending up cash-stretched at month 14.</w:t>
            </w:r>
          </w:p>
        </w:tc>
      </w:tr>
    </w:tbl>
    <w:p>
      <w:pPr>
        <w:pStyle w:val="Heading1"/>
        <w:pageBreakBefore/>
        <w:spacing w:after="200" w:before="240"/>
      </w:pPr>
      <w:r>
        <w:rPr>
          <w:rFonts w:ascii="Arial" w:cs="Arial" w:eastAsia="Arial" w:hAnsi="Arial"/>
          <w:b/>
          <w:bCs/>
          <w:color w:val="0b3d2e"/>
          <w:sz w:val="36"/>
          <w:szCs w:val="36"/>
        </w:rPr>
        <w:t xml:space="preserve">6. Annexes</w:t>
      </w:r>
    </w:p>
    <w:p>
      <w:pPr>
        <w:pStyle w:val="Heading2"/>
        <w:spacing w:after="160" w:before="320"/>
      </w:pPr>
      <w:r>
        <w:rPr>
          <w:rFonts w:ascii="Arial" w:cs="Arial" w:eastAsia="Arial" w:hAnsi="Arial"/>
          <w:b/>
          <w:bCs/>
          <w:color w:val="1a1a1a"/>
          <w:sz w:val="28"/>
          <w:szCs w:val="28"/>
        </w:rPr>
        <w:t xml:space="preserve">6.1 Comparable transactions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800"/>
        <w:gridCol w:w="1200"/>
        <w:gridCol w:w="1400"/>
        <w:gridCol w:w="2100"/>
        <w:gridCol w:w="1660"/>
      </w:tblGrid>
      <w:tr>
        <w:trPr>
          <w:tblHeader/>
        </w:trPr>
        <w:tc>
          <w:tcPr>
            <w:tcW w:type="dxa" w:w="2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Deal</w:t>
            </w:r>
          </w:p>
        </w:tc>
        <w:tc>
          <w:tcPr>
            <w:tcW w:type="dxa" w:w="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Year</w:t>
            </w:r>
          </w:p>
        </w:tc>
        <w:tc>
          <w:tcPr>
            <w:tcW w:type="dxa" w:w="12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Size</w:t>
            </w:r>
          </w:p>
        </w:tc>
        <w:tc>
          <w:tcPr>
            <w:tcW w:type="dxa" w:w="14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Lead</w:t>
            </w:r>
          </w:p>
        </w:tc>
        <w:tc>
          <w:tcPr>
            <w:tcW w:type="dxa" w:w="21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Co-investors</w:t>
            </w:r>
          </w:p>
        </w:tc>
        <w:tc>
          <w:tcPr>
            <w:tcW w:type="dxa" w:w="16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Songbird relevance</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Mobile Networks (AMN)</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$36M</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Metier</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BII, DEG, Proparco, MCB</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Most analogous — rural connectivity, consortium structure</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Axian Telecom bond</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2025</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$600M</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Bond placement</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IFC, BII, DEG, EAAIF, Proparco</w:t>
            </w:r>
          </w:p>
        </w:tc>
        <w:tc>
          <w:tcPr>
            <w:tcW w:type="dxa" w:w="1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Recent DFI co-investment in pan-African telecom</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Sonatel SLF</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2024</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€87M</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IFC</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BII, Proparco</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Sustainability-linked debt for telecom expansion</w:t>
            </w:r>
          </w:p>
        </w:tc>
      </w:tr>
      <w:tr>
        <w:tc>
          <w:tcPr>
            <w:tcW w:type="dxa" w:w="2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Partners CPDIF III</w:t>
            </w:r>
          </w:p>
        </w:tc>
        <w:tc>
          <w:tcPr>
            <w:tcW w:type="dxa" w:w="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2024</w:t>
            </w:r>
          </w:p>
        </w:tc>
        <w:tc>
          <w:tcPr>
            <w:tcW w:type="dxa" w:w="12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$120M first close</w:t>
            </w:r>
          </w:p>
        </w:tc>
        <w:tc>
          <w:tcPr>
            <w:tcW w:type="dxa" w:w="14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w:t>
            </w:r>
          </w:p>
        </w:tc>
        <w:tc>
          <w:tcPr>
            <w:tcW w:type="dxa" w:w="21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BII, IFC, EIB, DFC, Proparco</w:t>
            </w:r>
          </w:p>
        </w:tc>
        <w:tc>
          <w:tcPr>
            <w:tcW w:type="dxa" w:w="16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Validates DFI appetite for Songbird-style platform</w:t>
            </w:r>
          </w:p>
        </w:tc>
      </w:tr>
      <w:tr>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EASSy subsea cable</w:t>
            </w:r>
          </w:p>
        </w:tc>
        <w:tc>
          <w:tcPr>
            <w:tcW w:type="dxa" w:w="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2010</w:t>
            </w:r>
          </w:p>
        </w:tc>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$235M</w:t>
            </w:r>
          </w:p>
        </w:tc>
        <w:tc>
          <w:tcPr>
            <w:tcW w:type="dxa" w:w="1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WIOCC</w:t>
            </w:r>
          </w:p>
        </w:tc>
        <w:tc>
          <w:tcPr>
            <w:tcW w:type="dxa" w:w="21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IFC ($18.2M), AfDB ($14.5M), AFD, KfW, EIB</w:t>
            </w:r>
          </w:p>
        </w:tc>
        <w:tc>
          <w:tcPr>
            <w:tcW w:type="dxa" w:w="1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Precedent for DFI co-investment in African subsea</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6.2 Realistic close probabilities — independent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800"/>
        <w:gridCol w:w="3260"/>
      </w:tblGrid>
      <w:tr>
        <w:trPr>
          <w:tblHeader/>
        </w:trPr>
        <w:tc>
          <w:tcPr>
            <w:tcW w:type="dxa" w:w="2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Source</w:t>
            </w:r>
          </w:p>
        </w:tc>
        <w:tc>
          <w:tcPr>
            <w:tcW w:type="dxa" w:w="15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Indicative ticket</w:t>
            </w:r>
          </w:p>
        </w:tc>
        <w:tc>
          <w:tcPr>
            <w:tcW w:type="dxa" w:w="180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Probability of close</w:t>
            </w:r>
          </w:p>
        </w:tc>
        <w:tc>
          <w:tcPr>
            <w:tcW w:type="dxa" w:w="3260"/>
            <w:tcBorders>
              <w:top w:val="single" w:color="cccccc" w:sz="4"/>
              <w:left w:val="single" w:color="cccccc" w:sz="4"/>
              <w:bottom w:val="single" w:color="cccccc" w:sz="4"/>
              <w:right w:val="single" w:color="cccccc" w:sz="4"/>
            </w:tcBorders>
            <w:shd w:fill="e7e5e0" w:val="clear"/>
            <w:tcMar>
              <w:top w:type="dxa" w:w="100"/>
              <w:left w:type="dxa" w:w="120"/>
              <w:bottom w:type="dxa" w:w="100"/>
              <w:right w:type="dxa" w:w="120"/>
            </w:tcMar>
          </w:tcPr>
          <w:p>
            <w:pPr>
              <w:spacing w:after="80" w:before="0"/>
            </w:pPr>
            <w:r>
              <w:rPr>
                <w:rFonts w:ascii="Arial" w:cs="Arial" w:eastAsia="Arial" w:hAnsi="Arial"/>
                <w:b/>
                <w:bCs/>
                <w:color w:val="1a1a1a"/>
                <w:sz w:val="20"/>
                <w:szCs w:val="20"/>
              </w:rPr>
              <w:t xml:space="preserve">Driver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AECID/FEDES</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FEDES seeks marquee projects; Pablo Spanish base</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EIB Global / EFSD+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€10M</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Medusa alignment strong; competitive process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60%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Maghreb-EU connectivity aligned with French priorities</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Italian Mattei Plan</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€1.5M</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New plan, untested mechanism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KfW (Germany)</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€3M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40%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Smart Africa overlap helpful but not central</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Norfund/Swedfund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€1M</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60%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Clean digital infra narrative resonates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Spanish regional (combined)</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€1M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Smaller tickets, easier political fit</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Convergence Partners (lead)</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$8M</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Strong fit but firewall constraints may push pricing</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Proparco</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70%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Africa digital infra is explicit strategy</w:t>
            </w:r>
          </w:p>
        </w:tc>
      </w:tr>
      <w:tr>
        <w:tc>
          <w:tcPr>
            <w:tcW w:type="dxa" w:w="2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BII</w:t>
            </w:r>
          </w:p>
        </w:tc>
        <w:tc>
          <w:tcPr>
            <w:tcW w:type="dxa" w:w="15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$3M</w:t>
            </w:r>
          </w:p>
        </w:tc>
        <w:tc>
          <w:tcPr>
            <w:tcW w:type="dxa" w:w="180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50%</w:t>
            </w:r>
          </w:p>
        </w:tc>
        <w:tc>
          <w:tcPr>
            <w:tcW w:type="dxa" w:w="3260"/>
            <w:tcBorders>
              <w:top w:val="single" w:color="cccccc" w:sz="4"/>
              <w:left w:val="single" w:color="cccccc" w:sz="4"/>
              <w:bottom w:val="single" w:color="cccccc" w:sz="4"/>
              <w:right w:val="single" w:color="cccccc" w:sz="4"/>
            </w:tcBorders>
            <w:shd w:fill="fafaf9" w:val="clear"/>
            <w:tcMar>
              <w:top w:type="dxa" w:w="80"/>
              <w:left w:type="dxa" w:w="120"/>
              <w:bottom w:type="dxa" w:w="80"/>
              <w:right w:type="dxa" w:w="120"/>
            </w:tcMar>
          </w:tcPr>
          <w:p>
            <w:pPr>
              <w:spacing w:after="80" w:before="0"/>
            </w:pPr>
            <w:r>
              <w:rPr>
                <w:rFonts w:ascii="Arial" w:cs="Arial" w:eastAsia="Arial" w:hAnsi="Arial"/>
                <w:color w:val="262626"/>
                <w:sz w:val="20"/>
                <w:szCs w:val="20"/>
              </w:rPr>
              <w:t xml:space="preserve">Aligned but smaller appetite than Proparco</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EAIF</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$8M</w:t>
            </w:r>
          </w:p>
        </w:tc>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50%</w:t>
            </w:r>
          </w:p>
        </w:tc>
        <w:tc>
          <w:tcPr>
            <w:tcW w:type="dxa" w:w="32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80" w:before="0"/>
            </w:pPr>
            <w:r>
              <w:rPr>
                <w:rFonts w:ascii="Arial" w:cs="Arial" w:eastAsia="Arial" w:hAnsi="Arial"/>
                <w:color w:val="262626"/>
                <w:sz w:val="20"/>
                <w:szCs w:val="20"/>
              </w:rPr>
              <w:t xml:space="preserve">Requires demonstrated Phase 1 revenue</w:t>
            </w:r>
          </w:p>
        </w:tc>
      </w:tr>
    </w:tbl>
    <w:p>
      <w:pPr>
        <w:spacing w:after="120" w:before="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b3d2e" w:sz="24"/>
              <w:bottom w:val="none" w:color="ffffff" w:sz="0"/>
              <w:right w:val="none" w:color="ffffff" w:sz="0"/>
            </w:tcBorders>
            <w:shd w:fill="f5f3ef" w:val="clear"/>
            <w:tcMar>
              <w:top w:type="dxa" w:w="200"/>
              <w:left w:type="dxa" w:w="300"/>
              <w:bottom w:type="dxa" w:w="200"/>
              <w:right w:type="dxa" w:w="300"/>
            </w:tcMar>
          </w:tcPr>
          <w:p>
            <w:pPr>
              <w:spacing w:after="80" w:before="0"/>
            </w:pPr>
            <w:r>
              <w:rPr>
                <w:rFonts w:ascii="Arial" w:cs="Arial" w:eastAsia="Arial" w:hAnsi="Arial"/>
                <w:b/>
                <w:bCs/>
                <w:color w:val="0b3d2e"/>
                <w:sz w:val="22"/>
                <w:szCs w:val="22"/>
              </w:rPr>
              <w:t xml:space="preserve">Expected-value calculation</w:t>
            </w:r>
          </w:p>
          <w:p>
            <w:pPr>
              <w:spacing w:after="80" w:before="0"/>
            </w:pPr>
            <w:r>
              <w:rPr>
                <w:rFonts w:ascii="Arial" w:cs="Arial" w:eastAsia="Arial" w:hAnsi="Arial"/>
                <w:i/>
                <w:iCs/>
                <w:color w:val="262626"/>
                <w:sz w:val="22"/>
                <w:szCs w:val="22"/>
              </w:rPr>
              <w:t xml:space="preserve">Sum of (probability × ticket) across all sources ≈ €17M / $18M expected value. Against a target of $25–28M, this means the strategy must be over-subscribed: apply for €30M+ to reliably land $25M. Mitigation: maintain at least 2 backup sources per tier — if AECID slips, Italian CDP backstops; if Convergence walks, Metier replaces.</w:t>
            </w:r>
          </w:p>
        </w:tc>
      </w:tr>
    </w:tbl>
    <w:p>
      <w:pPr>
        <w:spacing w:after="120" w:before="0"/>
      </w:pPr>
      <w:r>
        <w:rPr>
          <w:sz w:val="4"/>
          <w:szCs w:val="4"/>
        </w:rPr>
        <w:t xml:space="preserve"/>
      </w:r>
    </w:p>
    <w:p>
      <w:pPr>
        <w:pStyle w:val="Heading2"/>
        <w:spacing w:after="160" w:before="320"/>
      </w:pPr>
      <w:r>
        <w:rPr>
          <w:rFonts w:ascii="Arial" w:cs="Arial" w:eastAsia="Arial" w:hAnsi="Arial"/>
          <w:b/>
          <w:bCs/>
          <w:color w:val="1a1a1a"/>
          <w:sz w:val="28"/>
          <w:szCs w:val="28"/>
        </w:rPr>
        <w:t xml:space="preserve">6.3 Pre-approach checklist</w:t>
      </w:r>
    </w:p>
    <w:p>
      <w:pPr>
        <w:pStyle w:val="Heading3"/>
        <w:spacing w:after="120" w:before="240"/>
      </w:pPr>
      <w:r>
        <w:rPr>
          <w:rFonts w:ascii="Arial" w:cs="Arial" w:eastAsia="Arial" w:hAnsi="Arial"/>
          <w:b/>
          <w:bCs/>
          <w:color w:val="1a1a1a"/>
          <w:sz w:val="24"/>
          <w:szCs w:val="24"/>
        </w:rPr>
        <w:t xml:space="preserve">For each public source</w:t>
      </w:r>
    </w:p>
    <w:p>
      <w:pPr>
        <w:pStyle w:val="ListParagraph"/>
        <w:numPr>
          <w:ilvl w:val="0"/>
          <w:numId w:val="2"/>
        </w:numPr>
        <w:spacing w:after="40" w:before="40"/>
      </w:pPr>
      <w:r>
        <w:rPr>
          <w:rFonts w:ascii="Arial" w:cs="Arial" w:eastAsia="Arial" w:hAnsi="Arial"/>
          <w:color w:val="262626"/>
          <w:sz w:val="22"/>
          <w:szCs w:val="22"/>
        </w:rPr>
        <w:t xml:space="preserve">Verify current cycle and deadline</w:t>
      </w:r>
    </w:p>
    <w:p>
      <w:pPr>
        <w:pStyle w:val="ListParagraph"/>
        <w:numPr>
          <w:ilvl w:val="0"/>
          <w:numId w:val="2"/>
        </w:numPr>
        <w:spacing w:after="40" w:before="40"/>
      </w:pPr>
      <w:r>
        <w:rPr>
          <w:rFonts w:ascii="Arial" w:cs="Arial" w:eastAsia="Arial" w:hAnsi="Arial"/>
          <w:color w:val="262626"/>
          <w:sz w:val="22"/>
          <w:szCs w:val="22"/>
        </w:rPr>
        <w:t xml:space="preserve">Identify named country desk officer</w:t>
      </w:r>
    </w:p>
    <w:p>
      <w:pPr>
        <w:pStyle w:val="ListParagraph"/>
        <w:numPr>
          <w:ilvl w:val="0"/>
          <w:numId w:val="2"/>
        </w:numPr>
        <w:spacing w:after="40" w:before="40"/>
      </w:pPr>
      <w:r>
        <w:rPr>
          <w:rFonts w:ascii="Arial" w:cs="Arial" w:eastAsia="Arial" w:hAnsi="Arial"/>
          <w:color w:val="262626"/>
          <w:sz w:val="22"/>
          <w:szCs w:val="22"/>
        </w:rPr>
        <w:t xml:space="preserve">Prepare 2-page brief in source language (Spanish for AECID, French for AFD, etc.)</w:t>
      </w:r>
    </w:p>
    <w:p>
      <w:pPr>
        <w:pStyle w:val="ListParagraph"/>
        <w:numPr>
          <w:ilvl w:val="0"/>
          <w:numId w:val="2"/>
        </w:numPr>
        <w:spacing w:after="40" w:before="40"/>
      </w:pPr>
      <w:r>
        <w:rPr>
          <w:rFonts w:ascii="Arial" w:cs="Arial" w:eastAsia="Arial" w:hAnsi="Arial"/>
          <w:color w:val="262626"/>
          <w:sz w:val="22"/>
          <w:szCs w:val="22"/>
        </w:rPr>
        <w:t xml:space="preserve">Match Songbird narrative to source's stated priorities</w:t>
      </w:r>
    </w:p>
    <w:p>
      <w:pPr>
        <w:pStyle w:val="ListParagraph"/>
        <w:numPr>
          <w:ilvl w:val="0"/>
          <w:numId w:val="2"/>
        </w:numPr>
        <w:spacing w:after="40" w:before="40"/>
      </w:pPr>
      <w:r>
        <w:rPr>
          <w:rFonts w:ascii="Arial" w:cs="Arial" w:eastAsia="Arial" w:hAnsi="Arial"/>
          <w:color w:val="262626"/>
          <w:sz w:val="22"/>
          <w:szCs w:val="22"/>
        </w:rPr>
        <w:t xml:space="preserve">Identify country office for in-country engagement</w:t>
      </w:r>
    </w:p>
    <w:p>
      <w:pPr>
        <w:pStyle w:val="ListParagraph"/>
        <w:numPr>
          <w:ilvl w:val="0"/>
          <w:numId w:val="2"/>
        </w:numPr>
        <w:spacing w:after="40" w:before="40"/>
      </w:pPr>
      <w:r>
        <w:rPr>
          <w:rFonts w:ascii="Arial" w:cs="Arial" w:eastAsia="Arial" w:hAnsi="Arial"/>
          <w:color w:val="262626"/>
          <w:sz w:val="22"/>
          <w:szCs w:val="22"/>
        </w:rPr>
        <w:t xml:space="preserve">Plan for political-level meeting if ticket size warrants</w:t>
      </w:r>
    </w:p>
    <w:p>
      <w:pPr>
        <w:spacing w:after="120" w:before="0"/>
      </w:pPr>
      <w:r>
        <w:rPr>
          <w:sz w:val="4"/>
          <w:szCs w:val="4"/>
        </w:rPr>
        <w:t xml:space="preserve"/>
      </w:r>
    </w:p>
    <w:p>
      <w:pPr>
        <w:pStyle w:val="Heading3"/>
        <w:spacing w:after="120" w:before="240"/>
      </w:pPr>
      <w:r>
        <w:rPr>
          <w:rFonts w:ascii="Arial" w:cs="Arial" w:eastAsia="Arial" w:hAnsi="Arial"/>
          <w:b/>
          <w:bCs/>
          <w:color w:val="1a1a1a"/>
          <w:sz w:val="24"/>
          <w:szCs w:val="24"/>
        </w:rPr>
        <w:t xml:space="preserve">For each private source</w:t>
      </w:r>
    </w:p>
    <w:p>
      <w:pPr>
        <w:pStyle w:val="ListParagraph"/>
        <w:numPr>
          <w:ilvl w:val="0"/>
          <w:numId w:val="2"/>
        </w:numPr>
        <w:spacing w:after="40" w:before="40"/>
      </w:pPr>
      <w:r>
        <w:rPr>
          <w:rFonts w:ascii="Arial" w:cs="Arial" w:eastAsia="Arial" w:hAnsi="Arial"/>
          <w:color w:val="262626"/>
          <w:sz w:val="22"/>
          <w:szCs w:val="22"/>
        </w:rPr>
        <w:t xml:space="preserve">Map fund vintage and remaining dry powder</w:t>
      </w:r>
    </w:p>
    <w:p>
      <w:pPr>
        <w:pStyle w:val="ListParagraph"/>
        <w:numPr>
          <w:ilvl w:val="0"/>
          <w:numId w:val="2"/>
        </w:numPr>
        <w:spacing w:after="40" w:before="40"/>
      </w:pPr>
      <w:r>
        <w:rPr>
          <w:rFonts w:ascii="Arial" w:cs="Arial" w:eastAsia="Arial" w:hAnsi="Arial"/>
          <w:color w:val="262626"/>
          <w:sz w:val="22"/>
          <w:szCs w:val="22"/>
        </w:rPr>
        <w:t xml:space="preserve">Identify named investment professional covering African digital infra</w:t>
      </w:r>
    </w:p>
    <w:p>
      <w:pPr>
        <w:pStyle w:val="ListParagraph"/>
        <w:numPr>
          <w:ilvl w:val="0"/>
          <w:numId w:val="2"/>
        </w:numPr>
        <w:spacing w:after="40" w:before="40"/>
      </w:pPr>
      <w:r>
        <w:rPr>
          <w:rFonts w:ascii="Arial" w:cs="Arial" w:eastAsia="Arial" w:hAnsi="Arial"/>
          <w:color w:val="262626"/>
          <w:sz w:val="22"/>
          <w:szCs w:val="22"/>
        </w:rPr>
        <w:t xml:space="preserve">Reference comparable deal they've led (Sonatel, AMN, Axian)</w:t>
      </w:r>
    </w:p>
    <w:p>
      <w:pPr>
        <w:pStyle w:val="ListParagraph"/>
        <w:numPr>
          <w:ilvl w:val="0"/>
          <w:numId w:val="2"/>
        </w:numPr>
        <w:spacing w:after="40" w:before="40"/>
      </w:pPr>
      <w:r>
        <w:rPr>
          <w:rFonts w:ascii="Arial" w:cs="Arial" w:eastAsia="Arial" w:hAnsi="Arial"/>
          <w:color w:val="262626"/>
          <w:sz w:val="22"/>
          <w:szCs w:val="22"/>
        </w:rPr>
        <w:t xml:space="preserve">Pre-circulate one-page summary with 18-month milestones</w:t>
      </w:r>
    </w:p>
    <w:p>
      <w:pPr>
        <w:pStyle w:val="ListParagraph"/>
        <w:numPr>
          <w:ilvl w:val="0"/>
          <w:numId w:val="2"/>
        </w:numPr>
        <w:spacing w:after="40" w:before="40"/>
      </w:pPr>
      <w:r>
        <w:rPr>
          <w:rFonts w:ascii="Arial" w:cs="Arial" w:eastAsia="Arial" w:hAnsi="Arial"/>
          <w:color w:val="262626"/>
          <w:sz w:val="22"/>
          <w:szCs w:val="22"/>
        </w:rPr>
        <w:t xml:space="preserve">Have anchor public-stack LOI ready before the second meeting</w:t>
      </w:r>
    </w:p>
    <w:p>
      <w:pPr>
        <w:pStyle w:val="ListParagraph"/>
        <w:numPr>
          <w:ilvl w:val="0"/>
          <w:numId w:val="2"/>
        </w:numPr>
        <w:spacing w:after="40" w:before="40"/>
      </w:pPr>
      <w:r>
        <w:rPr>
          <w:rFonts w:ascii="Arial" w:cs="Arial" w:eastAsia="Arial" w:hAnsi="Arial"/>
          <w:color w:val="262626"/>
          <w:sz w:val="22"/>
          <w:szCs w:val="22"/>
        </w:rPr>
        <w:t xml:space="preserve">Reference Wilson Sonsini structuring memo on Foundation governance</w:t>
      </w:r>
    </w:p>
    <w:p>
      <w:pPr>
        <w:pStyle w:val="Heading1"/>
        <w:pageBreakBefore/>
        <w:spacing w:after="200" w:before="240"/>
      </w:pPr>
      <w:r>
        <w:rPr>
          <w:rFonts w:ascii="Arial" w:cs="Arial" w:eastAsia="Arial" w:hAnsi="Arial"/>
          <w:b/>
          <w:bCs/>
          <w:color w:val="0b3d2e"/>
          <w:sz w:val="36"/>
          <w:szCs w:val="36"/>
        </w:rPr>
        <w:t xml:space="preserve">7. Closing</w:t>
      </w:r>
    </w:p>
    <w:p>
      <w:pPr>
        <w:spacing w:after="200" w:before="0"/>
      </w:pPr>
      <w:r>
        <w:rPr>
          <w:rFonts w:ascii="Arial" w:cs="Arial" w:eastAsia="Arial" w:hAnsi="Arial"/>
          <w:color w:val="262626"/>
          <w:sz w:val="22"/>
          <w:szCs w:val="22"/>
        </w:rPr>
        <w:t xml:space="preserve">Songbird needs $25–28M. The capital is available, in 4 tiers across the public stack and 3 tiers across the private stack. No single source will fund the project alone. The plan succeeds if and only if 4–6 public sources and 2–3 private sources commit in parallel over 18 months.</w:t>
      </w:r>
    </w:p>
    <w:p>
      <w:pPr>
        <w:spacing w:after="200" w:before="0"/>
      </w:pPr>
      <w:r>
        <w:rPr>
          <w:rFonts w:ascii="Arial" w:cs="Arial" w:eastAsia="Arial" w:hAnsi="Arial"/>
          <w:color w:val="262626"/>
          <w:sz w:val="22"/>
          <w:szCs w:val="22"/>
        </w:rPr>
        <w:t xml:space="preserve">The sequencing is non-negotiable. Public stack anchors first; patient capital closes behind it. The single most important early action is the AECID/FEDES proposal, which Pablo's Spanish base uniquely positions Songbird to win. Submit within 60 days. Use the FEDES letter of interest to unlock EIB Global, AFD, and Italian CDP in parallel.</w:t>
      </w:r>
    </w:p>
    <w:p>
      <w:pPr>
        <w:spacing w:after="200" w:before="0"/>
      </w:pPr>
      <w:r>
        <w:rPr>
          <w:rFonts w:ascii="Arial" w:cs="Arial" w:eastAsia="Arial" w:hAnsi="Arial"/>
          <w:color w:val="262626"/>
          <w:sz w:val="22"/>
          <w:szCs w:val="22"/>
        </w:rPr>
        <w:t xml:space="preserve">At month 6, with €7–10M of public LOIs in hand, open Convergence Partners formally with a Series A term sheet conversation. Convergence brings Proparco and BII into the syndicate. By month 12, the Series A closes against the public anchor. At month 15, EAIF senior debt closes behind demonstrated Phase 1 traction.</w:t>
      </w:r>
    </w:p>
    <w:p>
      <w:pPr>
        <w:spacing w:after="240" w:before="0"/>
      </w:pPr>
      <w:r>
        <w:rPr>
          <w:rFonts w:ascii="Arial" w:cs="Arial" w:eastAsia="Arial" w:hAnsi="Arial"/>
          <w:color w:val="262626"/>
          <w:sz w:val="22"/>
          <w:szCs w:val="22"/>
        </w:rPr>
        <w:t xml:space="preserve">This is execution work. Most of it is process. The fundamental thesis — that Foundation-governed wholesale infrastructure with a mission firewall is fundable by both public capital and patient private capital — is sound. The challenge is sequencing, parallel execution, and not letting any single source become a single point of failure.</w:t>
      </w:r>
    </w:p>
    <w:p>
      <w:pPr>
        <w:pBdr>
          <w:bottom w:val="single" w:color="2E75B6" w:sz="6" w:space="1"/>
        </w:pBdr>
        <w:spacing w:after="200" w:before="100"/>
      </w:pPr>
      <w:r>
        <w:t xml:space="preserve"/>
      </w:r>
    </w:p>
    <w:p>
      <w:pPr>
        <w:spacing w:after="80" w:before="0"/>
        <w:jc w:val="center"/>
      </w:pPr>
      <w:r>
        <w:rPr>
          <w:rFonts w:ascii="Arial" w:cs="Arial" w:eastAsia="Arial" w:hAnsi="Arial"/>
          <w:i/>
          <w:iCs/>
          <w:color w:val="595959"/>
          <w:sz w:val="20"/>
          <w:szCs w:val="20"/>
        </w:rPr>
        <w:t xml:space="preserve">This fund-raising strategy is accompanied by:</w:t>
      </w:r>
    </w:p>
    <w:p>
      <w:pPr>
        <w:spacing w:after="80" w:before="0"/>
        <w:jc w:val="center"/>
      </w:pPr>
      <w:r>
        <w:rPr>
          <w:rFonts w:ascii="Arial" w:cs="Arial" w:eastAsia="Arial" w:hAnsi="Arial"/>
          <w:i/>
          <w:iCs/>
          <w:color w:val="595959"/>
          <w:sz w:val="20"/>
          <w:szCs w:val="20"/>
        </w:rPr>
        <w:t xml:space="preserve">Songbird_BusinessPlan.docx · Songbird_Financial_Model_v2.xlsx · songbird_simulator_v2.jsx (interactive workbench)</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95959"/>
        <w:sz w:val="18"/>
        <w:szCs w:val="18"/>
      </w:rPr>
      <w:t xml:space="preserve">Songbird · Fund Raising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0b3d2e"/>
      </w:r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b3d2e"/>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1a1a"/>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Songbird Fund Raising Strategy</dc:title>
  <dc:creator>Songbird</dc:creator>
  <cp:lastModifiedBy>Un-named</cp:lastModifiedBy>
  <cp:revision>1</cp:revision>
  <dcterms:created xsi:type="dcterms:W3CDTF">2026-05-15T08:59:10.743Z</dcterms:created>
  <dcterms:modified xsi:type="dcterms:W3CDTF">2026-05-15T08:59:10.744Z</dcterms:modified>
</cp:coreProperties>
</file>

<file path=docProps/custom.xml><?xml version="1.0" encoding="utf-8"?>
<Properties xmlns="http://schemas.openxmlformats.org/officeDocument/2006/custom-properties" xmlns:vt="http://schemas.openxmlformats.org/officeDocument/2006/docPropsVTypes"/>
</file>