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before="0"/>
      </w:pPr>
      <w:r>
        <w:rPr>
          <w:sz w:val="4"/>
          <w:szCs w:val="4"/>
        </w:rPr>
        <w:t xml:space="preserve"/>
      </w:r>
    </w:p>
    <w:p>
      <w:pPr>
        <w:spacing w:after="80" w:before="0"/>
        <w:jc w:val="center"/>
      </w:pPr>
      <w:r>
        <w:rPr>
          <w:rFonts w:ascii="Arial" w:cs="Arial" w:eastAsia="Arial" w:hAnsi="Arial"/>
          <w:b/>
          <w:bCs/>
          <w:color w:val="0b3d2e"/>
          <w:sz w:val="84"/>
          <w:szCs w:val="84"/>
        </w:rPr>
        <w:t xml:space="preserve">SONGBIRD</w:t>
      </w:r>
    </w:p>
    <w:p>
      <w:pPr>
        <w:spacing w:after="240" w:before="0"/>
        <w:jc w:val="center"/>
      </w:pPr>
      <w:r>
        <w:rPr>
          <w:rFonts w:ascii="Arial" w:cs="Arial" w:eastAsia="Arial" w:hAnsi="Arial"/>
          <w:i/>
          <w:iCs/>
          <w:color w:val="595959"/>
          <w:sz w:val="28"/>
          <w:szCs w:val="28"/>
        </w:rPr>
        <w:t xml:space="preserve">Africa First-Mile Connectivity Infrastructure</w:t>
      </w:r>
    </w:p>
    <w:p>
      <w:pPr>
        <w:pBdr>
          <w:bottom w:val="single" w:color="2E75B6" w:sz="6" w:space="1"/>
        </w:pBdr>
        <w:spacing w:after="200" w:before="100"/>
      </w:pPr>
      <w:r>
        <w:t xml:space="preserve"/>
      </w:r>
    </w:p>
    <w:p>
      <w:pPr>
        <w:spacing w:after="120" w:before="0"/>
        <w:jc w:val="center"/>
      </w:pPr>
      <w:r>
        <w:rPr>
          <w:rFonts w:ascii="Arial" w:cs="Arial" w:eastAsia="Arial" w:hAnsi="Arial"/>
          <w:b/>
          <w:bCs/>
          <w:color w:val="1a1a1a"/>
          <w:sz w:val="36"/>
          <w:szCs w:val="36"/>
        </w:rPr>
        <w:t xml:space="preserve">Business Plan</w:t>
      </w:r>
    </w:p>
    <w:p>
      <w:pPr>
        <w:spacing w:after="600" w:before="0"/>
        <w:jc w:val="center"/>
      </w:pPr>
      <w:r>
        <w:rPr>
          <w:rFonts w:ascii="Arial" w:cs="Arial" w:eastAsia="Arial" w:hAnsi="Arial"/>
          <w:i/>
          <w:iCs/>
          <w:color w:val="595959"/>
          <w:sz w:val="22"/>
          <w:szCs w:val="22"/>
        </w:rPr>
        <w:t xml:space="preserve">A wholesale telecommunications platform connecting African schools, hospitals, and public institutions to the global internet — built as a mission-aligned Foundation-owned commercial entity for the long term.</w:t>
      </w:r>
    </w:p>
    <w:p>
      <w:pPr>
        <w:pBdr>
          <w:bottom w:val="single" w:color="2E75B6" w:sz="6" w:space="1"/>
        </w:pBdr>
        <w:spacing w:after="200" w:before="100"/>
      </w:pPr>
      <w:r>
        <w:t xml:space="preserve"/>
      </w:r>
    </w:p>
    <w:p>
      <w:pPr>
        <w:spacing w:after="2000" w:before="0"/>
      </w:pPr>
      <w:r>
        <w:rPr>
          <w:sz w:val="4"/>
          <w:szCs w:val="4"/>
        </w:rPr>
        <w:t xml:space="preserve"/>
      </w:r>
    </w:p>
    <w:p>
      <w:pPr>
        <w:spacing w:after="60" w:before="0"/>
        <w:jc w:val="center"/>
      </w:pPr>
      <w:r>
        <w:rPr>
          <w:rFonts w:ascii="Arial" w:cs="Arial" w:eastAsia="Arial" w:hAnsi="Arial"/>
          <w:color w:val="595959"/>
          <w:sz w:val="20"/>
          <w:szCs w:val="20"/>
        </w:rPr>
        <w:t xml:space="preserve">Document version 1.0</w:t>
      </w:r>
    </w:p>
    <w:p>
      <w:pPr>
        <w:spacing w:after="60" w:before="0"/>
        <w:jc w:val="center"/>
      </w:pPr>
      <w:r>
        <w:rPr>
          <w:rFonts w:ascii="Arial" w:cs="Arial" w:eastAsia="Arial" w:hAnsi="Arial"/>
          <w:color w:val="595959"/>
          <w:sz w:val="20"/>
          <w:szCs w:val="20"/>
        </w:rPr>
        <w:t xml:space="preserve">Prepared May 2026</w:t>
      </w:r>
    </w:p>
    <w:p>
      <w:pPr>
        <w:spacing w:after="80" w:before="0"/>
        <w:jc w:val="center"/>
      </w:pPr>
      <w:r>
        <w:rPr>
          <w:rFonts w:ascii="Arial" w:cs="Arial" w:eastAsia="Arial" w:hAnsi="Arial"/>
          <w:color w:val="595959"/>
          <w:sz w:val="20"/>
          <w:szCs w:val="20"/>
        </w:rPr>
        <w:t xml:space="preserve">Based on v0.4 financial model (Robert Schumann, October 2026)</w:t>
      </w:r>
    </w:p>
    <w:p>
      <w:r>
        <w:br w:type="page"/>
      </w:r>
    </w:p>
    <w:p>
      <w:pPr>
        <w:pStyle w:val="Heading1"/>
        <w:spacing w:after="200" w:before="480"/>
      </w:pPr>
      <w:r>
        <w:rPr>
          <w:rFonts w:ascii="Arial" w:cs="Arial" w:eastAsia="Arial" w:hAnsi="Arial"/>
          <w:b/>
          <w:bCs/>
          <w:color w:val="0b3d2e"/>
          <w:sz w:val="36"/>
          <w:szCs w:val="36"/>
        </w:rPr>
        <w:t xml:space="preserve">1. Executive Summary</w:t>
      </w:r>
    </w:p>
    <w:p>
      <w:pPr>
        <w:spacing w:after="200" w:before="0"/>
      </w:pPr>
      <w:r>
        <w:rPr>
          <w:rFonts w:ascii="Arial" w:cs="Arial" w:eastAsia="Arial" w:hAnsi="Arial"/>
          <w:color w:val="262626"/>
          <w:sz w:val="22"/>
          <w:szCs w:val="22"/>
        </w:rPr>
        <w:t xml:space="preserve">Africa has the steepest cost-of-connectivity curve in the world. A school in rural Niger pays five to ten times what a school in Marseille pays for the same megabit, and the marginal cost of that megabit hasn't changed materially in five years despite a wave of new subsea cables. The gap is not bandwidth — it is the wholesale layer that turns subsea bandwidth into school-priced retail capacity. Songbird builds that layer.</w:t>
      </w:r>
    </w:p>
    <w:p>
      <w:pPr>
        <w:spacing w:after="200" w:before="0"/>
      </w:pPr>
      <w:r>
        <w:rPr>
          <w:rFonts w:ascii="Arial" w:cs="Arial" w:eastAsia="Arial" w:hAnsi="Arial"/>
          <w:color w:val="262626"/>
          <w:sz w:val="22"/>
          <w:szCs w:val="22"/>
        </w:rPr>
        <w:t xml:space="preserve">Songbird is a wholesale first-mile telecom infrastructure venture, originated within UNICEF/Giga and now structured as an independent commercial entity owned by a Swiss Foundation. It operates 20 Points of Presence (POPs) across 11 African and Mediterranean countries, terminating subsea capacity from cables including 2Africa, Equiano, Medusa, and EASSy, and selling aggregated capacity at substantially below-market prices into Giga-mediated education procurement.</w:t>
      </w:r>
    </w:p>
    <w:p>
      <w:pPr>
        <w:spacing w:after="240" w:before="0"/>
      </w:pPr>
      <w:r>
        <w:rPr>
          <w:rFonts w:ascii="Arial" w:cs="Arial" w:eastAsia="Arial" w:hAnsi="Arial"/>
          <w:color w:val="262626"/>
          <w:sz w:val="22"/>
          <w:szCs w:val="22"/>
        </w:rPr>
        <w:t xml:space="preserve">This document sets out the business case, the operating plan, and the unit economics underlying that plan. It is grounded in the v0.4 wireframe model (Robert Schumann, October 2026) and extends it with explicit certainty levels, sensitivity bands, optimization opportunities, and a multi-stakeholder revenue strategy.</w:t>
      </w:r>
    </w:p>
    <w:p>
      <w:pPr>
        <w:pStyle w:val="Heading3"/>
        <w:spacing w:after="120" w:before="240"/>
      </w:pPr>
      <w:r>
        <w:rPr>
          <w:rFonts w:ascii="Arial" w:cs="Arial" w:eastAsia="Arial" w:hAnsi="Arial"/>
          <w:b/>
          <w:bCs/>
          <w:color w:val="1a1a1a"/>
          <w:sz w:val="24"/>
          <w:szCs w:val="24"/>
        </w:rPr>
        <w:t xml:space="preserve">Headline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2200"/>
        <w:gridCol w:w="2360"/>
      </w:tblGrid>
      <w:tr>
        <w:trPr>
          <w:tblHeader/>
        </w:trPr>
        <w:tc>
          <w:tcPr>
            <w:tcW w:type="dxa" w:w="30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Metric</w:t>
            </w:r>
          </w:p>
        </w:tc>
        <w:tc>
          <w:tcPr>
            <w:tcW w:type="dxa" w:w="1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v0.4 Base</w:t>
            </w:r>
          </w:p>
        </w:tc>
        <w:tc>
          <w:tcPr>
            <w:tcW w:type="dxa" w:w="22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Optimised Case</w:t>
            </w:r>
          </w:p>
        </w:tc>
        <w:tc>
          <w:tcPr>
            <w:tcW w:type="dxa" w:w="23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Source / certainty</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Peak FCF funding requirement</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$25.5M</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$8–10M (Phase 1)</w:t>
            </w:r>
          </w:p>
        </w:tc>
        <w:tc>
          <w:tcPr>
            <w:tcW w:type="dxa" w:w="2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Model output (high)</w:t>
            </w:r>
          </w:p>
        </w:tc>
      </w:tr>
      <w:tr>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Total capex (10y)</w:t>
            </w:r>
          </w:p>
        </w:tc>
        <w:tc>
          <w:tcPr>
            <w:tcW w:type="dxa" w:w="1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$21.8M</w:t>
            </w:r>
          </w:p>
        </w:tc>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$15–17M (lease-tail)</w:t>
            </w:r>
          </w:p>
        </w:tc>
        <w:tc>
          <w:tcPr>
            <w:tcW w:type="dxa" w:w="23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Model output (medium)</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POPs in operation by 2029</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3–20 (phased)</w:t>
            </w:r>
          </w:p>
        </w:tc>
        <w:tc>
          <w:tcPr>
            <w:tcW w:type="dxa" w:w="2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Strategy decision (high)</w:t>
            </w:r>
          </w:p>
        </w:tc>
      </w:tr>
      <w:tr>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Annual revenue 2029</w:t>
            </w:r>
          </w:p>
        </w:tc>
        <w:tc>
          <w:tcPr>
            <w:tcW w:type="dxa" w:w="1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$2.24M</w:t>
            </w:r>
          </w:p>
        </w:tc>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$3.5–8M (with ideas)</w:t>
            </w:r>
          </w:p>
        </w:tc>
        <w:tc>
          <w:tcPr>
            <w:tcW w:type="dxa" w:w="23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Model + ideas (low-med)</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EBITDA margin 2029</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10.4%</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20–45%</w:t>
            </w:r>
          </w:p>
        </w:tc>
        <w:tc>
          <w:tcPr>
            <w:tcW w:type="dxa" w:w="2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Model + ideas (low-med)</w:t>
            </w:r>
          </w:p>
        </w:tc>
      </w:tr>
      <w:tr>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Submarine capacity 2029</w:t>
            </w:r>
          </w:p>
        </w:tc>
        <w:tc>
          <w:tcPr>
            <w:tcW w:type="dxa" w:w="1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611 Gbit/s</w:t>
            </w:r>
          </w:p>
        </w:tc>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611 Gbit/s</w:t>
            </w:r>
          </w:p>
        </w:tc>
        <w:tc>
          <w:tcPr>
            <w:tcW w:type="dxa" w:w="23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Model output (high)</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Schools served 2029</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173,000</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173,000</w:t>
            </w:r>
          </w:p>
        </w:tc>
        <w:tc>
          <w:tcPr>
            <w:tcW w:type="dxa" w:w="2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Capped by Giga TAM (high)</w:t>
            </w:r>
          </w:p>
        </w:tc>
      </w:tr>
      <w:tr>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Payback period</w:t>
            </w:r>
          </w:p>
        </w:tc>
        <w:tc>
          <w:tcPr>
            <w:tcW w:type="dxa" w:w="1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Never (10y)</w:t>
            </w:r>
          </w:p>
        </w:tc>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4–6 years</w:t>
            </w:r>
          </w:p>
        </w:tc>
        <w:tc>
          <w:tcPr>
            <w:tcW w:type="dxa" w:w="23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Model + ideas (low-med)</w:t>
            </w:r>
          </w:p>
        </w:tc>
      </w:tr>
    </w:tbl>
    <w:p>
      <w:pPr>
        <w:spacing w:after="120" w:before="0"/>
      </w:pPr>
      <w:r>
        <w:rPr>
          <w:sz w:val="4"/>
          <w:szCs w:val="4"/>
        </w:rPr>
        <w:t xml:space="preserve"/>
      </w:r>
    </w:p>
    <w:p>
      <w:pPr>
        <w:pStyle w:val="Heading3"/>
        <w:spacing w:after="120" w:before="240"/>
      </w:pPr>
      <w:r>
        <w:rPr>
          <w:rFonts w:ascii="Arial" w:cs="Arial" w:eastAsia="Arial" w:hAnsi="Arial"/>
          <w:b/>
          <w:bCs/>
          <w:color w:val="1a1a1a"/>
          <w:sz w:val="24"/>
          <w:szCs w:val="24"/>
        </w:rPr>
        <w:t xml:space="preserve">The core thesis in five points</w:t>
      </w:r>
    </w:p>
    <w:p>
      <w:pPr>
        <w:pStyle w:val="ListParagraph"/>
        <w:numPr>
          <w:ilvl w:val="0"/>
          <w:numId w:val="2"/>
        </w:numPr>
        <w:spacing w:after="40" w:before="40"/>
      </w:pPr>
      <w:r>
        <w:rPr>
          <w:rFonts w:ascii="Arial" w:cs="Arial" w:eastAsia="Arial" w:hAnsi="Arial"/>
          <w:color w:val="262626"/>
          <w:sz w:val="22"/>
          <w:szCs w:val="22"/>
        </w:rPr>
        <w:t xml:space="preserve">Songbird is wholesale infrastructure, not last-mile retail. It does not compete with telcos; it gives them — and Giga — better wholesale economics on the routes they need most.</w:t>
      </w:r>
    </w:p>
    <w:p>
      <w:pPr>
        <w:pStyle w:val="ListParagraph"/>
        <w:numPr>
          <w:ilvl w:val="0"/>
          <w:numId w:val="2"/>
        </w:numPr>
        <w:spacing w:after="40" w:before="40"/>
      </w:pPr>
      <w:r>
        <w:rPr>
          <w:rFonts w:ascii="Arial" w:cs="Arial" w:eastAsia="Arial" w:hAnsi="Arial"/>
          <w:color w:val="262626"/>
          <w:sz w:val="22"/>
          <w:szCs w:val="22"/>
        </w:rPr>
        <w:t xml:space="preserve">The Foundation governance and Giga firewall are the moat. They guarantee that the discounted school pricing cannot be arbitraged into competitor markets, which is what makes donors willing to fund the build.</w:t>
      </w:r>
    </w:p>
    <w:p>
      <w:pPr>
        <w:pStyle w:val="ListParagraph"/>
        <w:numPr>
          <w:ilvl w:val="0"/>
          <w:numId w:val="2"/>
        </w:numPr>
        <w:spacing w:after="40" w:before="40"/>
      </w:pPr>
      <w:r>
        <w:rPr>
          <w:rFonts w:ascii="Arial" w:cs="Arial" w:eastAsia="Arial" w:hAnsi="Arial"/>
          <w:color w:val="262626"/>
          <w:sz w:val="22"/>
          <w:szCs w:val="22"/>
        </w:rPr>
        <w:t xml:space="preserve">20 POPs is the long-term shape, not the launch shape. A 3-POP Phase 1 (Kenya + Uganda + Lagos) costs $8–10M peak funding to prove the model. Full rollout is conditional on Phase 1 validation.</w:t>
      </w:r>
    </w:p>
    <w:p>
      <w:pPr>
        <w:pStyle w:val="ListParagraph"/>
        <w:numPr>
          <w:ilvl w:val="0"/>
          <w:numId w:val="2"/>
        </w:numPr>
        <w:spacing w:after="40" w:before="40"/>
      </w:pPr>
      <w:r>
        <w:rPr>
          <w:rFonts w:ascii="Arial" w:cs="Arial" w:eastAsia="Arial" w:hAnsi="Arial"/>
          <w:color w:val="262626"/>
          <w:sz w:val="22"/>
          <w:szCs w:val="22"/>
        </w:rPr>
        <w:t xml:space="preserve">Mission-aligned revenue (schools, clinics) is not enough on its own to make Songbird commercially viable. It must be combined with commercial revenue (hyperscalers, CDN peering, banks, sovereign data) — but with strict capacity-firewalling so school routes are never displaced.</w:t>
      </w:r>
    </w:p>
    <w:p>
      <w:pPr>
        <w:pStyle w:val="ListParagraph"/>
        <w:numPr>
          <w:ilvl w:val="0"/>
          <w:numId w:val="2"/>
        </w:numPr>
        <w:spacing w:after="40" w:before="40"/>
      </w:pPr>
      <w:r>
        <w:rPr>
          <w:rFonts w:ascii="Arial" w:cs="Arial" w:eastAsia="Arial" w:hAnsi="Arial"/>
          <w:color w:val="262626"/>
          <w:sz w:val="22"/>
          <w:szCs w:val="22"/>
        </w:rPr>
        <w:t xml:space="preserve">Public capital (EU, AECID, AFD, EIB Global, EFSD+) does most of the heavy lifting. Patient private capital (Convergence Partners, EAIF, Proparco) provides the equity layer that gives commercial flexibility.</w:t>
      </w:r>
    </w:p>
    <w:p>
      <w:pPr>
        <w:spacing w:after="120" w:before="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b3d2e" w:sz="24"/>
              <w:bottom w:val="none" w:color="ffffff" w:sz="0"/>
              <w:right w:val="none" w:color="ffffff" w:sz="0"/>
            </w:tcBorders>
            <w:shd w:fill="f5f3ef" w:val="clear"/>
            <w:tcMar>
              <w:top w:type="dxa" w:w="200"/>
              <w:left w:type="dxa" w:w="300"/>
              <w:bottom w:type="dxa" w:w="200"/>
              <w:right w:type="dxa" w:w="300"/>
            </w:tcMar>
          </w:tcPr>
          <w:p>
            <w:pPr>
              <w:spacing w:after="80" w:before="0"/>
            </w:pPr>
            <w:r>
              <w:rPr>
                <w:rFonts w:ascii="Arial" w:cs="Arial" w:eastAsia="Arial" w:hAnsi="Arial"/>
                <w:b/>
                <w:bCs/>
                <w:color w:val="0b3d2e"/>
                <w:sz w:val="22"/>
                <w:szCs w:val="22"/>
              </w:rPr>
              <w:t xml:space="preserve">The single most important strategic decision in this plan</w:t>
            </w:r>
          </w:p>
          <w:p>
            <w:pPr>
              <w:spacing w:after="80" w:before="0"/>
            </w:pPr>
            <w:r>
              <w:rPr>
                <w:rFonts w:ascii="Arial" w:cs="Arial" w:eastAsia="Arial" w:hAnsi="Arial"/>
                <w:i/>
                <w:iCs/>
                <w:color w:val="262626"/>
                <w:sz w:val="22"/>
                <w:szCs w:val="22"/>
              </w:rPr>
              <w:t xml:space="preserve">Songbird is wholesale infrastructure with a school-pricing covenant, not a school-connectivity provider. The wholesale framing is what makes commercial co-investment possible. The school-pricing covenant is what makes public funding possible. Both are needed.</w:t>
            </w:r>
          </w:p>
        </w:tc>
      </w:tr>
    </w:tbl>
    <w:p>
      <w:pPr>
        <w:pStyle w:val="Heading1"/>
        <w:pageBreakBefore/>
        <w:spacing w:after="200" w:before="240"/>
      </w:pPr>
      <w:r>
        <w:rPr>
          <w:rFonts w:ascii="Arial" w:cs="Arial" w:eastAsia="Arial" w:hAnsi="Arial"/>
          <w:b/>
          <w:bCs/>
          <w:color w:val="0b3d2e"/>
          <w:sz w:val="36"/>
          <w:szCs w:val="36"/>
        </w:rPr>
        <w:t xml:space="preserve">2. The Problem &amp; The Opportunity</w:t>
      </w:r>
    </w:p>
    <w:p>
      <w:pPr>
        <w:pStyle w:val="Heading2"/>
        <w:spacing w:after="160" w:before="320"/>
      </w:pPr>
      <w:r>
        <w:rPr>
          <w:rFonts w:ascii="Arial" w:cs="Arial" w:eastAsia="Arial" w:hAnsi="Arial"/>
          <w:b/>
          <w:bCs/>
          <w:color w:val="1a1a1a"/>
          <w:sz w:val="28"/>
          <w:szCs w:val="28"/>
        </w:rPr>
        <w:t xml:space="preserve">2.1 The first-mile gap</w:t>
      </w:r>
    </w:p>
    <w:p>
      <w:pPr>
        <w:spacing w:after="200" w:before="0"/>
      </w:pPr>
      <w:r>
        <w:rPr>
          <w:rFonts w:ascii="Arial" w:cs="Arial" w:eastAsia="Arial" w:hAnsi="Arial"/>
          <w:color w:val="262626"/>
          <w:sz w:val="22"/>
          <w:szCs w:val="22"/>
        </w:rPr>
        <w:t xml:space="preserve">Across the 49 mainland African economies, 414 million people live more than 10km from a fibre backbone. According to ITU and World Bank data, fixed broadband penetration in Sub-Saharan Africa is roughly 7% of population, against 35–60% in the rest of the world. Mobile broadband closes some of the gap but not for institutional users (schools, hospitals, government offices) that need symmetric, predictable, high-throughput connections.</w:t>
      </w:r>
    </w:p>
    <w:p>
      <w:pPr>
        <w:spacing w:after="200" w:before="0"/>
      </w:pPr>
      <w:r>
        <w:rPr>
          <w:rFonts w:ascii="Arial" w:cs="Arial" w:eastAsia="Arial" w:hAnsi="Arial"/>
          <w:color w:val="262626"/>
          <w:sz w:val="22"/>
          <w:szCs w:val="22"/>
        </w:rPr>
        <w:t xml:space="preserve">The bandwidth itself is increasingly there. The Mediterranean and Atlantic faces of Africa are now served by 2Africa (Meta-led, 45,000 km, 16 fibre pairs, completed 2024), Equiano (Google-led, 12 Tbps, RFS 2022), Medusa (480 Tbps, 24 fibre pairs, RFS 2025 with landings at Algiers, Collo, Port Said, Marseille, Nador, Tétouan, Carcavelos, Sines, Barcelona, Bizerte), and the older WACS, ACE, SAT-3, EASSy systems. The total submarine capacity reaching African coasts is comfortably over 200 Tbps. Less than 5% of it reaches educational institutions at affordable rates.</w:t>
      </w:r>
    </w:p>
    <w:p>
      <w:pPr>
        <w:pStyle w:val="Heading2"/>
        <w:spacing w:after="160" w:before="320"/>
      </w:pPr>
      <w:r>
        <w:rPr>
          <w:rFonts w:ascii="Arial" w:cs="Arial" w:eastAsia="Arial" w:hAnsi="Arial"/>
          <w:b/>
          <w:bCs/>
          <w:color w:val="1a1a1a"/>
          <w:sz w:val="28"/>
          <w:szCs w:val="28"/>
        </w:rPr>
        <w:t xml:space="preserve">2.2 Where the value is destroyed</w:t>
      </w:r>
    </w:p>
    <w:p>
      <w:pPr>
        <w:spacing w:after="160" w:before="0"/>
      </w:pPr>
      <w:r>
        <w:rPr>
          <w:rFonts w:ascii="Arial" w:cs="Arial" w:eastAsia="Arial" w:hAnsi="Arial"/>
          <w:color w:val="262626"/>
          <w:sz w:val="22"/>
          <w:szCs w:val="22"/>
        </w:rPr>
        <w:t xml:space="preserve">A 100 Mbps connection that leaves a tier-1 European IP transit provider at roughly $0.30/Mb/month ($30/year) arrives at a Nigerian secondary school priced at $150–300/year per Mbps. The 5–10x markup happens in three places:</w:t>
      </w:r>
    </w:p>
    <w:p>
      <w:pPr>
        <w:pStyle w:val="ListParagraph"/>
        <w:numPr>
          <w:ilvl w:val="0"/>
          <w:numId w:val="2"/>
        </w:numPr>
        <w:spacing w:after="40" w:before="40"/>
      </w:pPr>
      <w:r>
        <w:rPr>
          <w:rFonts w:ascii="Arial" w:cs="Arial" w:eastAsia="Arial" w:hAnsi="Arial"/>
          <w:b/>
          <w:bCs/>
          <w:color w:val="262626"/>
          <w:sz w:val="22"/>
          <w:szCs w:val="22"/>
        </w:rPr>
        <w:t xml:space="preserve">Subsea-to-shore aggregation: </w:t>
      </w:r>
      <w:r>
        <w:rPr>
          <w:rFonts w:ascii="Arial" w:cs="Arial" w:eastAsia="Arial" w:hAnsi="Arial"/>
          <w:color w:val="262626"/>
          <w:sz w:val="22"/>
          <w:szCs w:val="22"/>
        </w:rPr>
        <w:t xml:space="preserve">Cable landing stations and the initial wholesale tier price for redundancy, route-protection, and IXP membership.</w:t>
      </w:r>
    </w:p>
    <w:p>
      <w:pPr>
        <w:pStyle w:val="ListParagraph"/>
        <w:numPr>
          <w:ilvl w:val="0"/>
          <w:numId w:val="2"/>
        </w:numPr>
        <w:spacing w:after="40" w:before="40"/>
      </w:pPr>
      <w:r>
        <w:rPr>
          <w:rFonts w:ascii="Arial" w:cs="Arial" w:eastAsia="Arial" w:hAnsi="Arial"/>
          <w:b/>
          <w:bCs/>
          <w:color w:val="262626"/>
          <w:sz w:val="22"/>
          <w:szCs w:val="22"/>
        </w:rPr>
        <w:t xml:space="preserve">In-country backhaul: </w:t>
      </w:r>
      <w:r>
        <w:rPr>
          <w:rFonts w:ascii="Arial" w:cs="Arial" w:eastAsia="Arial" w:hAnsi="Arial"/>
          <w:color w:val="262626"/>
          <w:sz w:val="22"/>
          <w:szCs w:val="22"/>
        </w:rPr>
        <w:t xml:space="preserve">Long-haul terrestrial fibre, often single-supplier, often unreliable, with maintenance windows that quadruple the effective per-Mb cost.</w:t>
      </w:r>
    </w:p>
    <w:p>
      <w:pPr>
        <w:pStyle w:val="ListParagraph"/>
        <w:numPr>
          <w:ilvl w:val="0"/>
          <w:numId w:val="2"/>
        </w:numPr>
        <w:spacing w:after="40" w:before="40"/>
      </w:pPr>
      <w:r>
        <w:rPr>
          <w:rFonts w:ascii="Arial" w:cs="Arial" w:eastAsia="Arial" w:hAnsi="Arial"/>
          <w:b/>
          <w:bCs/>
          <w:color w:val="262626"/>
          <w:sz w:val="22"/>
          <w:szCs w:val="22"/>
        </w:rPr>
        <w:t xml:space="preserve">Last-mile retail markup: </w:t>
      </w:r>
      <w:r>
        <w:rPr>
          <w:rFonts w:ascii="Arial" w:cs="Arial" w:eastAsia="Arial" w:hAnsi="Arial"/>
          <w:color w:val="262626"/>
          <w:sz w:val="22"/>
          <w:szCs w:val="22"/>
        </w:rPr>
        <w:t xml:space="preserve">The largest single layer of margin compression — the gap between wholesale-grade capacity and what an individual school actually pays.</w:t>
      </w:r>
    </w:p>
    <w:p>
      <w:pPr>
        <w:spacing w:after="120" w:before="0"/>
      </w:pPr>
      <w:r>
        <w:rPr>
          <w:sz w:val="4"/>
          <w:szCs w:val="4"/>
        </w:rPr>
        <w:t xml:space="preserve"/>
      </w:r>
    </w:p>
    <w:p>
      <w:pPr>
        <w:spacing w:after="200" w:before="0"/>
      </w:pPr>
      <w:r>
        <w:rPr>
          <w:rFonts w:ascii="Arial" w:cs="Arial" w:eastAsia="Arial" w:hAnsi="Arial"/>
          <w:color w:val="262626"/>
          <w:sz w:val="22"/>
          <w:szCs w:val="22"/>
        </w:rPr>
        <w:t xml:space="preserve">Songbird intervenes at the first two layers and leaves the third to existing telcos, ISPs, or Giga-led procurement programmes. The thesis is that the first two together account for 60–70% of the school-price multiple, and that they are the only layers where a Foundation-governed wholesale operator can compete fairly without crowding out commercial operators.</w:t>
      </w:r>
    </w:p>
    <w:p>
      <w:pPr>
        <w:pStyle w:val="Heading2"/>
        <w:spacing w:after="160" w:before="320"/>
      </w:pPr>
      <w:r>
        <w:rPr>
          <w:rFonts w:ascii="Arial" w:cs="Arial" w:eastAsia="Arial" w:hAnsi="Arial"/>
          <w:b/>
          <w:bCs/>
          <w:color w:val="1a1a1a"/>
          <w:sz w:val="28"/>
          <w:szCs w:val="28"/>
        </w:rPr>
        <w:t xml:space="preserve">2.3 Market opportunity sizing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2100"/>
        <w:gridCol w:w="1660"/>
        <w:gridCol w:w="1400"/>
      </w:tblGrid>
      <w:tr>
        <w:trPr>
          <w:tblHeader/>
        </w:trPr>
        <w:tc>
          <w:tcPr>
            <w:tcW w:type="dxa" w:w="2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Segment</w:t>
            </w:r>
          </w:p>
        </w:tc>
        <w:tc>
          <w:tcPr>
            <w:tcW w:type="dxa" w:w="1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TAM (units)</w:t>
            </w:r>
          </w:p>
        </w:tc>
        <w:tc>
          <w:tcPr>
            <w:tcW w:type="dxa" w:w="21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Songbird-addressable</w:t>
            </w:r>
          </w:p>
        </w:tc>
        <w:tc>
          <w:tcPr>
            <w:tcW w:type="dxa" w:w="16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Reach by 2029</w:t>
            </w:r>
          </w:p>
        </w:tc>
        <w:tc>
          <w:tcPr>
            <w:tcW w:type="dxa" w:w="1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Source</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African schools (primary + secondary)</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~700,000</w:t>
            </w:r>
          </w:p>
        </w:tc>
        <w:tc>
          <w:tcPr>
            <w:tcW w:type="dxa" w:w="21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~440,000 unconnected</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173,000 (Giga TAM)</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Giga / projectconnect.unicef.org</w:t>
            </w:r>
          </w:p>
        </w:tc>
      </w:tr>
      <w:tr>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African health facilities</w:t>
            </w:r>
          </w:p>
        </w:tc>
        <w:tc>
          <w:tcPr>
            <w:tcW w:type="dxa" w:w="1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~120,000</w:t>
            </w:r>
          </w:p>
        </w:tc>
        <w:tc>
          <w:tcPr>
            <w:tcW w:type="dxa" w:w="21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~80,000 unconnected</w:t>
            </w:r>
          </w:p>
        </w:tc>
        <w:tc>
          <w:tcPr>
            <w:tcW w:type="dxa" w:w="1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~30,000 (clinics)</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WHO / Africa CDC datasets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Government offices</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~250,000</w:t>
            </w:r>
          </w:p>
        </w:tc>
        <w:tc>
          <w:tcPr>
            <w:tcW w:type="dxa" w:w="21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~100,000</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Out of scope for Phase 1</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World Bank</w:t>
            </w:r>
          </w:p>
        </w:tc>
      </w:tr>
      <w:tr>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Cross-border bank/fintech routes</w:t>
            </w:r>
          </w:p>
        </w:tc>
        <w:tc>
          <w:tcPr>
            <w:tcW w:type="dxa" w:w="1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~30 pan-African</w:t>
            </w:r>
          </w:p>
        </w:tc>
        <w:tc>
          <w:tcPr>
            <w:tcW w:type="dxa" w:w="21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4–6 large customers</w:t>
            </w:r>
          </w:p>
        </w:tc>
        <w:tc>
          <w:tcPr>
            <w:tcW w:type="dxa" w:w="1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Per Songbird strategy</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GSMA Mobile Money</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Hyperscaler EU-Africa transit</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4 hyperscalers</w:t>
            </w:r>
          </w:p>
        </w:tc>
        <w:tc>
          <w:tcPr>
            <w:tcW w:type="dxa" w:w="21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2–4</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Per Songbird strategy</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TeleGeography</w:t>
            </w:r>
          </w:p>
        </w:tc>
      </w:tr>
      <w:tr>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CDN edge nodes</w:t>
            </w:r>
          </w:p>
        </w:tc>
        <w:tc>
          <w:tcPr>
            <w:tcW w:type="dxa" w:w="1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8–12 CDNs</w:t>
            </w:r>
          </w:p>
        </w:tc>
        <w:tc>
          <w:tcPr>
            <w:tcW w:type="dxa" w:w="21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4–6</w:t>
            </w:r>
          </w:p>
        </w:tc>
        <w:tc>
          <w:tcPr>
            <w:tcW w:type="dxa" w:w="1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6–8 POP partnerships</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PeeringDB</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2.4 Why now</w:t>
      </w:r>
    </w:p>
    <w:p>
      <w:pPr>
        <w:pStyle w:val="ListParagraph"/>
        <w:numPr>
          <w:ilvl w:val="0"/>
          <w:numId w:val="2"/>
        </w:numPr>
        <w:spacing w:after="40" w:before="40"/>
      </w:pPr>
      <w:r>
        <w:rPr>
          <w:rFonts w:ascii="Arial" w:cs="Arial" w:eastAsia="Arial" w:hAnsi="Arial"/>
          <w:b/>
          <w:bCs/>
          <w:color w:val="262626"/>
          <w:sz w:val="22"/>
          <w:szCs w:val="22"/>
        </w:rPr>
        <w:t xml:space="preserve">Cable capacity boom (2024–2026): </w:t>
      </w:r>
      <w:r>
        <w:rPr>
          <w:rFonts w:ascii="Arial" w:cs="Arial" w:eastAsia="Arial" w:hAnsi="Arial"/>
          <w:color w:val="262626"/>
          <w:sz w:val="22"/>
          <w:szCs w:val="22"/>
        </w:rPr>
        <w:t xml:space="preserve">2Africa, Equiano, Medusa all coming online creates 5–10x more African-coast subsea capacity than 2020. Wholesale prices on these routes are at construction-time lows for new entrants.</w:t>
      </w:r>
    </w:p>
    <w:p>
      <w:pPr>
        <w:pStyle w:val="ListParagraph"/>
        <w:numPr>
          <w:ilvl w:val="0"/>
          <w:numId w:val="2"/>
        </w:numPr>
        <w:spacing w:after="40" w:before="40"/>
      </w:pPr>
      <w:r>
        <w:rPr>
          <w:rFonts w:ascii="Arial" w:cs="Arial" w:eastAsia="Arial" w:hAnsi="Arial"/>
          <w:b/>
          <w:bCs/>
          <w:color w:val="262626"/>
          <w:sz w:val="22"/>
          <w:szCs w:val="22"/>
        </w:rPr>
        <w:t xml:space="preserve">EU Global Gateway: </w:t>
      </w:r>
      <w:r>
        <w:rPr>
          <w:rFonts w:ascii="Arial" w:cs="Arial" w:eastAsia="Arial" w:hAnsi="Arial"/>
          <w:color w:val="262626"/>
          <w:sz w:val="22"/>
          <w:szCs w:val="22"/>
        </w:rPr>
        <w:t xml:space="preserve">€300B mobilisation target by 2027; €150B for Africa by 2030; €135B EFSD+ guarantee envelope. Songbird is exactly the asset Global Gateway exists to fund.</w:t>
      </w:r>
    </w:p>
    <w:p>
      <w:pPr>
        <w:pStyle w:val="ListParagraph"/>
        <w:numPr>
          <w:ilvl w:val="0"/>
          <w:numId w:val="2"/>
        </w:numPr>
        <w:spacing w:after="40" w:before="40"/>
      </w:pPr>
      <w:r>
        <w:rPr>
          <w:rFonts w:ascii="Arial" w:cs="Arial" w:eastAsia="Arial" w:hAnsi="Arial"/>
          <w:b/>
          <w:bCs/>
          <w:color w:val="262626"/>
          <w:sz w:val="22"/>
          <w:szCs w:val="22"/>
        </w:rPr>
        <w:t xml:space="preserve">Cable cut vulnerability: </w:t>
      </w:r>
      <w:r>
        <w:rPr>
          <w:rFonts w:ascii="Arial" w:cs="Arial" w:eastAsia="Arial" w:hAnsi="Arial"/>
          <w:color w:val="262626"/>
          <w:sz w:val="22"/>
          <w:szCs w:val="22"/>
        </w:rPr>
        <w:t xml:space="preserve">The March 2024 outage that disconnected 10 African countries showed the strategic value of route diversity. Songbird's multi-cable, multi-route design directly addresses this.</w:t>
      </w:r>
    </w:p>
    <w:p>
      <w:pPr>
        <w:pStyle w:val="ListParagraph"/>
        <w:numPr>
          <w:ilvl w:val="0"/>
          <w:numId w:val="2"/>
        </w:numPr>
        <w:spacing w:after="40" w:before="40"/>
      </w:pPr>
      <w:r>
        <w:rPr>
          <w:rFonts w:ascii="Arial" w:cs="Arial" w:eastAsia="Arial" w:hAnsi="Arial"/>
          <w:b/>
          <w:bCs/>
          <w:color w:val="262626"/>
          <w:sz w:val="22"/>
          <w:szCs w:val="22"/>
        </w:rPr>
        <w:t xml:space="preserve">Giga maturity: </w:t>
      </w:r>
      <w:r>
        <w:rPr>
          <w:rFonts w:ascii="Arial" w:cs="Arial" w:eastAsia="Arial" w:hAnsi="Arial"/>
          <w:color w:val="262626"/>
          <w:sz w:val="22"/>
          <w:szCs w:val="22"/>
        </w:rPr>
        <w:t xml:space="preserve">After 5 years of school-mapping, Giga has the demand-side aggregation but lacks the supply-side infrastructure layer. Songbird fills that gap.</w:t>
      </w:r>
    </w:p>
    <w:p>
      <w:pPr>
        <w:pStyle w:val="ListParagraph"/>
        <w:numPr>
          <w:ilvl w:val="0"/>
          <w:numId w:val="2"/>
        </w:numPr>
        <w:spacing w:after="40" w:before="40"/>
      </w:pPr>
      <w:r>
        <w:rPr>
          <w:rFonts w:ascii="Arial" w:cs="Arial" w:eastAsia="Arial" w:hAnsi="Arial"/>
          <w:b/>
          <w:bCs/>
          <w:color w:val="262626"/>
          <w:sz w:val="22"/>
          <w:szCs w:val="22"/>
        </w:rPr>
        <w:t xml:space="preserve">EU strategic autonomy push: </w:t>
      </w:r>
      <w:r>
        <w:rPr>
          <w:rFonts w:ascii="Arial" w:cs="Arial" w:eastAsia="Arial" w:hAnsi="Arial"/>
          <w:color w:val="262626"/>
          <w:sz w:val="22"/>
          <w:szCs w:val="22"/>
        </w:rPr>
        <w:t xml:space="preserve">Post-2022, the EU is actively seeking non-Chinese alternatives for African digital infrastructure. Trusted-route capacity has a measurable political premium.</w:t>
      </w:r>
    </w:p>
    <w:p>
      <w:pPr>
        <w:pStyle w:val="Heading1"/>
        <w:pageBreakBefore/>
        <w:spacing w:after="200" w:before="240"/>
      </w:pPr>
      <w:r>
        <w:rPr>
          <w:rFonts w:ascii="Arial" w:cs="Arial" w:eastAsia="Arial" w:hAnsi="Arial"/>
          <w:b/>
          <w:bCs/>
          <w:color w:val="0b3d2e"/>
          <w:sz w:val="36"/>
          <w:szCs w:val="36"/>
        </w:rPr>
        <w:t xml:space="preserve">3. The Three-Layer Stack</w:t>
      </w:r>
    </w:p>
    <w:p>
      <w:pPr>
        <w:spacing w:after="200" w:before="0"/>
      </w:pPr>
      <w:r>
        <w:rPr>
          <w:rFonts w:ascii="Arial" w:cs="Arial" w:eastAsia="Arial" w:hAnsi="Arial"/>
          <w:color w:val="262626"/>
          <w:sz w:val="22"/>
          <w:szCs w:val="22"/>
        </w:rPr>
        <w:t xml:space="preserve">Songbird sits in the middle of a three-layer architecture. Understanding the layer boundaries is essential to understanding why donors fund the layer, why commercial investors fund the layer, and why neither would fund any other configuration.</w:t>
      </w:r>
    </w:p>
    <w:p>
      <w:pPr>
        <w:pStyle w:val="Heading3"/>
        <w:spacing w:after="120" w:before="240"/>
      </w:pPr>
      <w:r>
        <w:rPr>
          <w:rFonts w:ascii="Arial" w:cs="Arial" w:eastAsia="Arial" w:hAnsi="Arial"/>
          <w:b/>
          <w:bCs/>
          <w:color w:val="1a1a1a"/>
          <w:sz w:val="24"/>
          <w:szCs w:val="24"/>
        </w:rPr>
        <w:t xml:space="preserve">3.1 Layer one: Giga (open-source mapping &amp; procurement)</w:t>
      </w:r>
    </w:p>
    <w:p>
      <w:pPr>
        <w:spacing w:after="80" w:before="0"/>
      </w:pPr>
      <w:r>
        <w:rPr>
          <w:rFonts w:ascii="Arial" w:cs="Arial" w:eastAsia="Arial" w:hAnsi="Arial"/>
          <w:color w:val="262626"/>
          <w:sz w:val="22"/>
          <w:szCs w:val="22"/>
        </w:rPr>
        <w:t xml:space="preserve">Giga is the UNICEF/ITU joint initiative that maps every school in the world and connects them to the internet. It maintains the demand-side aggregation: school locations, connectivity status, procurement programmes, and price benchmarking. Giga is not a commercial entity and does not own infrastructure. It does, however, hold the most credible source of truth on which schools exist and what they pay.</w:t>
      </w:r>
    </w:p>
    <w:p>
      <w:pPr>
        <w:spacing w:after="200" w:before="0"/>
      </w:pPr>
      <w:r>
        <w:rPr>
          <w:rFonts w:ascii="Arial" w:cs="Arial" w:eastAsia="Arial" w:hAnsi="Arial"/>
          <w:color w:val="262626"/>
          <w:sz w:val="22"/>
          <w:szCs w:val="22"/>
        </w:rPr>
        <w:t xml:space="preserve">Songbird relationship: Giga is the demand aggregator and the price-firewall enforcer. Songbird sells discounted capacity into Giga-mediated procurement and accepts contractual constraints on how that capacity may be on-sold.</w:t>
      </w:r>
    </w:p>
    <w:p>
      <w:pPr>
        <w:pStyle w:val="Heading3"/>
        <w:spacing w:after="120" w:before="240"/>
      </w:pPr>
      <w:r>
        <w:rPr>
          <w:rFonts w:ascii="Arial" w:cs="Arial" w:eastAsia="Arial" w:hAnsi="Arial"/>
          <w:b/>
          <w:bCs/>
          <w:color w:val="1a1a1a"/>
          <w:sz w:val="24"/>
          <w:szCs w:val="24"/>
        </w:rPr>
        <w:t xml:space="preserve">3.2 Layer two: Songbird (wholesale infrastructure)</w:t>
      </w:r>
    </w:p>
    <w:p>
      <w:pPr>
        <w:spacing w:after="200" w:before="0"/>
      </w:pPr>
      <w:r>
        <w:rPr>
          <w:rFonts w:ascii="Arial" w:cs="Arial" w:eastAsia="Arial" w:hAnsi="Arial"/>
          <w:color w:val="262626"/>
          <w:sz w:val="22"/>
          <w:szCs w:val="22"/>
        </w:rPr>
        <w:t xml:space="preserve">Songbird owns IRUs (Indefeasible Rights of Use) on subsea and terrestrial fibre, operates POP equipment in 20 cities, maintains peering relationships with European tier-1 transit providers, and aggregates demand for school connectivity into wholesale-scale orders. It does not sell to end users directly.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b3d2e" w:sz="24"/>
              <w:bottom w:val="none" w:color="ffffff" w:sz="0"/>
              <w:right w:val="none" w:color="ffffff" w:sz="0"/>
            </w:tcBorders>
            <w:shd w:fill="f5f3ef" w:val="clear"/>
            <w:tcMar>
              <w:top w:type="dxa" w:w="200"/>
              <w:left w:type="dxa" w:w="300"/>
              <w:bottom w:type="dxa" w:w="200"/>
              <w:right w:type="dxa" w:w="300"/>
            </w:tcMar>
          </w:tcPr>
          <w:p>
            <w:pPr>
              <w:spacing w:after="80" w:before="0"/>
            </w:pPr>
            <w:r>
              <w:rPr>
                <w:rFonts w:ascii="Arial" w:cs="Arial" w:eastAsia="Arial" w:hAnsi="Arial"/>
                <w:b/>
                <w:bCs/>
                <w:color w:val="0b3d2e"/>
                <w:sz w:val="22"/>
                <w:szCs w:val="22"/>
              </w:rPr>
              <w:t xml:space="preserve">What Songbird actually owns:</w:t>
            </w:r>
          </w:p>
          <w:p>
            <w:pPr>
              <w:spacing w:after="80" w:before="0"/>
            </w:pPr>
            <w:r>
              <w:rPr>
                <w:rFonts w:ascii="Arial" w:cs="Arial" w:eastAsia="Arial" w:hAnsi="Arial"/>
                <w:i/>
                <w:iCs/>
                <w:color w:val="262626"/>
                <w:sz w:val="22"/>
                <w:szCs w:val="22"/>
              </w:rPr>
              <w:t xml:space="preserve">20 IRUs on subsea/terrestrial circuits, totalling 611 Gbit/s peak capacity. 20 POPs with router/switch/optical equipment. Country-level operator licences in 11 jurisdictions. Peering relationships at Marseille, Lisbon, Barcelona, Frankfurt. Operating contracts with Giga, UNICEF, and (target) hyperscalers, banks, CDNs.</w:t>
            </w:r>
          </w:p>
        </w:tc>
      </w:tr>
    </w:tbl>
    <w:p>
      <w:pPr>
        <w:spacing w:after="120" w:before="0"/>
      </w:pPr>
      <w:r>
        <w:rPr>
          <w:sz w:val="4"/>
          <w:szCs w:val="4"/>
        </w:rPr>
        <w:t xml:space="preserve"/>
      </w:r>
    </w:p>
    <w:p>
      <w:pPr>
        <w:pStyle w:val="Heading3"/>
        <w:spacing w:after="120" w:before="240"/>
      </w:pPr>
      <w:r>
        <w:rPr>
          <w:rFonts w:ascii="Arial" w:cs="Arial" w:eastAsia="Arial" w:hAnsi="Arial"/>
          <w:b/>
          <w:bCs/>
          <w:color w:val="1a1a1a"/>
          <w:sz w:val="24"/>
          <w:szCs w:val="24"/>
        </w:rPr>
        <w:t xml:space="preserve">3.3 Layer three: UNICEF (last-mile procurement and verification)</w:t>
      </w:r>
    </w:p>
    <w:p>
      <w:pPr>
        <w:spacing w:after="80" w:before="0"/>
      </w:pPr>
      <w:r>
        <w:rPr>
          <w:rFonts w:ascii="Arial" w:cs="Arial" w:eastAsia="Arial" w:hAnsi="Arial"/>
          <w:color w:val="262626"/>
          <w:sz w:val="22"/>
          <w:szCs w:val="22"/>
        </w:rPr>
        <w:t xml:space="preserve">UNICEF country offices and partner ministries handle the last-mile procurement: which schools, what equipment on premise, when activation happens. They also verify the connectivity outcomes that underpin Development Impact Bonds and donor reporting.</w:t>
      </w:r>
    </w:p>
    <w:p>
      <w:pPr>
        <w:spacing w:after="240" w:before="0"/>
      </w:pPr>
      <w:r>
        <w:rPr>
          <w:rFonts w:ascii="Arial" w:cs="Arial" w:eastAsia="Arial" w:hAnsi="Arial"/>
          <w:color w:val="262626"/>
          <w:sz w:val="22"/>
          <w:szCs w:val="22"/>
        </w:rPr>
        <w:t xml:space="preserve">Songbird relationship: counter-party for verified-outcomes-based contracting and downstream service expansion (e.g., telemedicine, e-government).</w:t>
      </w:r>
    </w:p>
    <w:p>
      <w:pPr>
        <w:pStyle w:val="Heading2"/>
        <w:spacing w:after="160" w:before="320"/>
      </w:pPr>
      <w:r>
        <w:rPr>
          <w:rFonts w:ascii="Arial" w:cs="Arial" w:eastAsia="Arial" w:hAnsi="Arial"/>
          <w:b/>
          <w:bCs/>
          <w:color w:val="1a1a1a"/>
          <w:sz w:val="28"/>
          <w:szCs w:val="28"/>
        </w:rPr>
        <w:t xml:space="preserve">3.4 The firewall</w:t>
      </w:r>
    </w:p>
    <w:p>
      <w:pPr>
        <w:spacing w:after="200" w:before="0"/>
      </w:pPr>
      <w:r>
        <w:rPr>
          <w:rFonts w:ascii="Arial" w:cs="Arial" w:eastAsia="Arial" w:hAnsi="Arial"/>
          <w:color w:val="262626"/>
          <w:sz w:val="22"/>
          <w:szCs w:val="22"/>
        </w:rPr>
        <w:t xml:space="preserve">The single most important structural feature of Songbird is the legal and operational firewall between Giga-priced school traffic and commercially-priced wholesale traffic. Without it, donors will not fund the project, and without donor funding, the project does not exist.</w:t>
      </w:r>
    </w:p>
    <w:p>
      <w:pPr>
        <w:spacing w:after="80" w:before="160"/>
      </w:pPr>
      <w:r>
        <w:rPr>
          <w:rFonts w:ascii="Arial" w:cs="Arial" w:eastAsia="Arial" w:hAnsi="Arial"/>
          <w:b/>
          <w:bCs/>
          <w:i/>
          <w:iCs/>
          <w:color w:val="595959"/>
          <w:sz w:val="22"/>
          <w:szCs w:val="22"/>
        </w:rPr>
        <w:t xml:space="preserve">How the firewall works</w:t>
      </w:r>
    </w:p>
    <w:p>
      <w:pPr>
        <w:pStyle w:val="ListParagraph"/>
        <w:numPr>
          <w:ilvl w:val="0"/>
          <w:numId w:val="2"/>
        </w:numPr>
        <w:spacing w:after="40" w:before="40"/>
      </w:pPr>
      <w:r>
        <w:rPr>
          <w:rFonts w:ascii="Arial" w:cs="Arial" w:eastAsia="Arial" w:hAnsi="Arial"/>
          <w:color w:val="262626"/>
          <w:sz w:val="22"/>
          <w:szCs w:val="22"/>
        </w:rPr>
        <w:t xml:space="preserve">The Foundation that owns Songbird has a constitutional clause requiring that school-priced capacity may not be diverted to commercial use, regardless of demand or pricing.</w:t>
      </w:r>
    </w:p>
    <w:p>
      <w:pPr>
        <w:pStyle w:val="ListParagraph"/>
        <w:numPr>
          <w:ilvl w:val="0"/>
          <w:numId w:val="2"/>
        </w:numPr>
        <w:spacing w:after="40" w:before="40"/>
      </w:pPr>
      <w:r>
        <w:rPr>
          <w:rFonts w:ascii="Arial" w:cs="Arial" w:eastAsia="Arial" w:hAnsi="Arial"/>
          <w:color w:val="262626"/>
          <w:sz w:val="22"/>
          <w:szCs w:val="22"/>
        </w:rPr>
        <w:t xml:space="preserve">A capacity reservation system at each POP guarantees a minimum percentage of throughput is allocated to verified Giga traffic at all times.</w:t>
      </w:r>
    </w:p>
    <w:p>
      <w:pPr>
        <w:pStyle w:val="ListParagraph"/>
        <w:numPr>
          <w:ilvl w:val="0"/>
          <w:numId w:val="2"/>
        </w:numPr>
        <w:spacing w:after="40" w:before="40"/>
      </w:pPr>
      <w:r>
        <w:rPr>
          <w:rFonts w:ascii="Arial" w:cs="Arial" w:eastAsia="Arial" w:hAnsi="Arial"/>
          <w:color w:val="262626"/>
          <w:sz w:val="22"/>
          <w:szCs w:val="22"/>
        </w:rPr>
        <w:t xml:space="preserve">Independent annual audit by a Big-4 firm verifies firewall compliance, with results published to donors.</w:t>
      </w:r>
    </w:p>
    <w:p>
      <w:pPr>
        <w:pStyle w:val="ListParagraph"/>
        <w:numPr>
          <w:ilvl w:val="0"/>
          <w:numId w:val="2"/>
        </w:numPr>
        <w:spacing w:after="40" w:before="40"/>
      </w:pPr>
      <w:r>
        <w:rPr>
          <w:rFonts w:ascii="Arial" w:cs="Arial" w:eastAsia="Arial" w:hAnsi="Arial"/>
          <w:color w:val="262626"/>
          <w:sz w:val="22"/>
          <w:szCs w:val="22"/>
        </w:rPr>
        <w:t xml:space="preserve">Pricing is contractually fixed at "Giga reference rates" published quarterly, and any breach triggers donor-callable conditions.</w:t>
      </w:r>
    </w:p>
    <w:p>
      <w:pPr>
        <w:spacing w:after="120" w:before="0"/>
      </w:pPr>
      <w:r>
        <w:rPr>
          <w:sz w:val="4"/>
          <w:szCs w:val="4"/>
        </w:rPr>
        <w:t xml:space="preserve"/>
      </w:r>
    </w:p>
    <w:p>
      <w:pPr>
        <w:spacing w:after="80" w:before="160"/>
      </w:pPr>
      <w:r>
        <w:rPr>
          <w:rFonts w:ascii="Arial" w:cs="Arial" w:eastAsia="Arial" w:hAnsi="Arial"/>
          <w:b/>
          <w:bCs/>
          <w:i/>
          <w:iCs/>
          <w:color w:val="595959"/>
          <w:sz w:val="22"/>
          <w:szCs w:val="22"/>
        </w:rPr>
        <w:t xml:space="preserve">Why this matters for investors</w:t>
      </w:r>
    </w:p>
    <w:p>
      <w:pPr>
        <w:spacing w:after="160" w:before="0"/>
      </w:pPr>
      <w:r>
        <w:rPr>
          <w:rFonts w:ascii="Arial" w:cs="Arial" w:eastAsia="Arial" w:hAnsi="Arial"/>
          <w:color w:val="262626"/>
          <w:sz w:val="22"/>
          <w:szCs w:val="22"/>
        </w:rPr>
        <w:t xml:space="preserve">Patient capital investors (Convergence Partners, EAIF, Proparco) accept this constraint because the alternative — running schools at commercial pricing — would attract zero schools, generate zero revenue, and produce zero return. The firewall is what makes the donor stack possible, which is what de-risks the equity tranche.</w:t>
      </w:r>
    </w:p>
    <w:p>
      <w:pPr>
        <w:spacing w:after="80" w:before="160"/>
      </w:pPr>
      <w:r>
        <w:rPr>
          <w:rFonts w:ascii="Arial" w:cs="Arial" w:eastAsia="Arial" w:hAnsi="Arial"/>
          <w:b/>
          <w:bCs/>
          <w:i/>
          <w:iCs/>
          <w:color w:val="595959"/>
          <w:sz w:val="22"/>
          <w:szCs w:val="22"/>
        </w:rPr>
        <w:t xml:space="preserve">What the firewall does NOT prevent</w:t>
      </w:r>
    </w:p>
    <w:p>
      <w:pPr>
        <w:pStyle w:val="ListParagraph"/>
        <w:numPr>
          <w:ilvl w:val="0"/>
          <w:numId w:val="2"/>
        </w:numPr>
        <w:spacing w:after="40" w:before="40"/>
      </w:pPr>
      <w:r>
        <w:rPr>
          <w:rFonts w:ascii="Arial" w:cs="Arial" w:eastAsia="Arial" w:hAnsi="Arial"/>
          <w:color w:val="262626"/>
          <w:sz w:val="22"/>
          <w:szCs w:val="22"/>
        </w:rPr>
        <w:t xml:space="preserve">Commercial sale of excess capacity at full market rates (currently 0% of v0.4 base case; recommended 20–40%).</w:t>
      </w:r>
    </w:p>
    <w:p>
      <w:pPr>
        <w:pStyle w:val="ListParagraph"/>
        <w:numPr>
          <w:ilvl w:val="0"/>
          <w:numId w:val="2"/>
        </w:numPr>
        <w:spacing w:after="40" w:before="40"/>
      </w:pPr>
      <w:r>
        <w:rPr>
          <w:rFonts w:ascii="Arial" w:cs="Arial" w:eastAsia="Arial" w:hAnsi="Arial"/>
          <w:color w:val="262626"/>
          <w:sz w:val="22"/>
          <w:szCs w:val="22"/>
        </w:rPr>
        <w:t xml:space="preserve">Premium services like SLA-grade banking connectivity, sovereign data routing, hyperscaler private peering.</w:t>
      </w:r>
    </w:p>
    <w:p>
      <w:pPr>
        <w:pStyle w:val="ListParagraph"/>
        <w:numPr>
          <w:ilvl w:val="0"/>
          <w:numId w:val="2"/>
        </w:numPr>
        <w:spacing w:after="40" w:before="40"/>
      </w:pPr>
      <w:r>
        <w:rPr>
          <w:rFonts w:ascii="Arial" w:cs="Arial" w:eastAsia="Arial" w:hAnsi="Arial"/>
          <w:color w:val="262626"/>
          <w:sz w:val="22"/>
          <w:szCs w:val="22"/>
        </w:rPr>
        <w:t xml:space="preserve">Equity returns to investors via terminal value at exit (Songbird is sold to a strategic, or held by the Foundation indefinitely).</w:t>
      </w:r>
    </w:p>
    <w:p>
      <w:pPr>
        <w:pStyle w:val="Heading1"/>
        <w:pageBreakBefore/>
        <w:spacing w:after="200" w:before="240"/>
      </w:pPr>
      <w:r>
        <w:rPr>
          <w:rFonts w:ascii="Arial" w:cs="Arial" w:eastAsia="Arial" w:hAnsi="Arial"/>
          <w:b/>
          <w:bCs/>
          <w:color w:val="0b3d2e"/>
          <w:sz w:val="36"/>
          <w:szCs w:val="36"/>
        </w:rPr>
        <w:t xml:space="preserve">4. Operating Plan</w:t>
      </w:r>
    </w:p>
    <w:p>
      <w:pPr>
        <w:pStyle w:val="Heading2"/>
        <w:spacing w:after="160" w:before="320"/>
      </w:pPr>
      <w:r>
        <w:rPr>
          <w:rFonts w:ascii="Arial" w:cs="Arial" w:eastAsia="Arial" w:hAnsi="Arial"/>
          <w:b/>
          <w:bCs/>
          <w:color w:val="1a1a1a"/>
          <w:sz w:val="28"/>
          <w:szCs w:val="28"/>
        </w:rPr>
        <w:t xml:space="preserve">4.1 Geographic rollout</w:t>
      </w:r>
    </w:p>
    <w:p>
      <w:pPr>
        <w:spacing w:after="200" w:before="0"/>
      </w:pPr>
      <w:r>
        <w:rPr>
          <w:rFonts w:ascii="Arial" w:cs="Arial" w:eastAsia="Arial" w:hAnsi="Arial"/>
          <w:color w:val="262626"/>
          <w:sz w:val="22"/>
          <w:szCs w:val="22"/>
        </w:rPr>
        <w:t xml:space="preserve">Songbird launches in four geographic phases over 18 months, prioritising routes where the wholesale economics are most favourable (Maghreb-EU on Medusa, East Africa-EU on 2Africa) and where the Giga school density is highest (Kenya, Nigeria).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1500"/>
        <w:gridCol w:w="800"/>
        <w:gridCol w:w="2700"/>
        <w:gridCol w:w="3560"/>
      </w:tblGrid>
      <w:tr>
        <w:trPr>
          <w:tblHeader/>
        </w:trPr>
        <w:tc>
          <w:tcPr>
            <w:tcW w:type="dxa" w:w="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Phase</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Launch</w:t>
            </w:r>
          </w:p>
        </w:tc>
        <w:tc>
          <w:tcPr>
            <w:tcW w:type="dxa" w:w="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POPs</w:t>
            </w:r>
          </w:p>
        </w:tc>
        <w:tc>
          <w:tcPr>
            <w:tcW w:type="dxa" w:w="27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Countries</w:t>
            </w:r>
          </w:p>
        </w:tc>
        <w:tc>
          <w:tcPr>
            <w:tcW w:type="dxa" w:w="35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Key cables / routes</w:t>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NA1</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Nov 2026</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8</w:t>
            </w:r>
          </w:p>
        </w:tc>
        <w:tc>
          <w:tcPr>
            <w:tcW w:type="dxa" w:w="2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Morocco, Algeria, Tunisia, Libya, Egypt</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Medusa (Algiers, Collo, Tétouan, Nador, Bizerte, Misrata, Port Said landings); to Barcelona/Marseille hubs</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EA1</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Sep–Dec 2026</w:t>
            </w:r>
          </w:p>
        </w:tc>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w:t>
            </w:r>
          </w:p>
        </w:tc>
        <w:tc>
          <w:tcPr>
            <w:tcW w:type="dxa" w:w="2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Kenya (Nairobi, Mombasa)</w:t>
            </w:r>
          </w:p>
        </w:tc>
        <w:tc>
          <w:tcPr>
            <w:tcW w:type="dxa" w:w="3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2Africa, EASSy → Marseille</w:t>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WA1</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Mar 2027</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4</w:t>
            </w:r>
          </w:p>
        </w:tc>
        <w:tc>
          <w:tcPr>
            <w:tcW w:type="dxa" w:w="2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Nigeria, Niger</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Equiano (Lagos) → Lisbon; terrestrial to Niamey, Dosso</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EA2</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Jun 2027</w:t>
            </w:r>
          </w:p>
        </w:tc>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6</w:t>
            </w:r>
          </w:p>
        </w:tc>
        <w:tc>
          <w:tcPr>
            <w:tcW w:type="dxa" w:w="2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Uganda, Mozambique, Malawi</w:t>
            </w:r>
          </w:p>
        </w:tc>
        <w:tc>
          <w:tcPr>
            <w:tcW w:type="dxa" w:w="3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Backhaul to Nairobi/Mombasa hubs</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4.2 Network architecture</w:t>
      </w:r>
    </w:p>
    <w:p>
      <w:pPr>
        <w:spacing w:after="200" w:before="0"/>
      </w:pPr>
      <w:r>
        <w:rPr>
          <w:rFonts w:ascii="Arial" w:cs="Arial" w:eastAsia="Arial" w:hAnsi="Arial"/>
          <w:color w:val="262626"/>
          <w:sz w:val="22"/>
          <w:szCs w:val="22"/>
        </w:rPr>
        <w:t xml:space="preserve">Songbird is built around two European hub points (Marseille and Lisbon, with Barcelona for North Africa) and a tree of African branches. Capacity flows from school POPs upward through regional African hubs to European termination points, where it is peered into tier-1 transit and CDN networks.</w:t>
      </w:r>
    </w:p>
    <w:p>
      <w:pPr>
        <w:spacing w:after="80" w:before="160"/>
      </w:pPr>
      <w:r>
        <w:rPr>
          <w:rFonts w:ascii="Arial" w:cs="Arial" w:eastAsia="Arial" w:hAnsi="Arial"/>
          <w:b/>
          <w:bCs/>
          <w:i/>
          <w:iCs/>
          <w:color w:val="595959"/>
          <w:sz w:val="22"/>
          <w:szCs w:val="22"/>
        </w:rPr>
        <w:t xml:space="preserve">Tier structure</w:t>
      </w:r>
    </w:p>
    <w:p>
      <w:pPr>
        <w:pStyle w:val="ListParagraph"/>
        <w:numPr>
          <w:ilvl w:val="0"/>
          <w:numId w:val="2"/>
        </w:numPr>
        <w:spacing w:after="40" w:before="40"/>
      </w:pPr>
      <w:r>
        <w:rPr>
          <w:rFonts w:ascii="Arial" w:cs="Arial" w:eastAsia="Arial" w:hAnsi="Arial"/>
          <w:b/>
          <w:bCs/>
          <w:color w:val="262626"/>
          <w:sz w:val="22"/>
          <w:szCs w:val="22"/>
        </w:rPr>
        <w:t xml:space="preserve">African hub POPs (12): </w:t>
      </w:r>
      <w:r>
        <w:rPr>
          <w:rFonts w:ascii="Arial" w:cs="Arial" w:eastAsia="Arial" w:hAnsi="Arial"/>
          <w:color w:val="262626"/>
          <w:sz w:val="22"/>
          <w:szCs w:val="22"/>
        </w:rPr>
        <w:t xml:space="preserve">Nairobi, Mombasa, Kampala, Nacala, Lilongwe, Blantyre, Lagos, Dosso, Niamey, Tetouan, Nador, Fez. Full equipment, redundant power, peering capability.</w:t>
      </w:r>
    </w:p>
    <w:p>
      <w:pPr>
        <w:pStyle w:val="ListParagraph"/>
        <w:numPr>
          <w:ilvl w:val="0"/>
          <w:numId w:val="2"/>
        </w:numPr>
        <w:spacing w:after="40" w:before="40"/>
      </w:pPr>
      <w:r>
        <w:rPr>
          <w:rFonts w:ascii="Arial" w:cs="Arial" w:eastAsia="Arial" w:hAnsi="Arial"/>
          <w:b/>
          <w:bCs/>
          <w:color w:val="262626"/>
          <w:sz w:val="22"/>
          <w:szCs w:val="22"/>
        </w:rPr>
        <w:t xml:space="preserve">African secondary POPs (8): </w:t>
      </w:r>
      <w:r>
        <w:rPr>
          <w:rFonts w:ascii="Arial" w:cs="Arial" w:eastAsia="Arial" w:hAnsi="Arial"/>
          <w:color w:val="262626"/>
          <w:sz w:val="22"/>
          <w:szCs w:val="22"/>
        </w:rPr>
        <w:t xml:space="preserve">Algiers, Collo, Bizerte, Tunis, Misrata, Benghazi, Port Said, Cairo. Reduced spec, mostly transit termination.</w:t>
      </w:r>
    </w:p>
    <w:p>
      <w:pPr>
        <w:pStyle w:val="ListParagraph"/>
        <w:numPr>
          <w:ilvl w:val="0"/>
          <w:numId w:val="2"/>
        </w:numPr>
        <w:spacing w:after="40" w:before="40"/>
      </w:pPr>
      <w:r>
        <w:rPr>
          <w:rFonts w:ascii="Arial" w:cs="Arial" w:eastAsia="Arial" w:hAnsi="Arial"/>
          <w:b/>
          <w:bCs/>
          <w:color w:val="262626"/>
          <w:sz w:val="22"/>
          <w:szCs w:val="22"/>
        </w:rPr>
        <w:t xml:space="preserve">European termination (3): </w:t>
      </w:r>
      <w:r>
        <w:rPr>
          <w:rFonts w:ascii="Arial" w:cs="Arial" w:eastAsia="Arial" w:hAnsi="Arial"/>
          <w:color w:val="262626"/>
          <w:sz w:val="22"/>
          <w:szCs w:val="22"/>
        </w:rPr>
        <w:t xml:space="preserve">Marseille, Lisbon, Barcelona. Carrier-neutral colocation in major DC facilities; FranceIX, AMS-IX, DE-CIX peering presence.</w:t>
      </w:r>
    </w:p>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4.3 The 20 POPs</w:t>
      </w:r>
    </w:p>
    <w:p>
      <w:pPr>
        <w:spacing w:after="160" w:before="0"/>
      </w:pPr>
      <w:r>
        <w:rPr>
          <w:rFonts w:ascii="Arial" w:cs="Arial" w:eastAsia="Arial" w:hAnsi="Arial"/>
          <w:color w:val="262626"/>
          <w:sz w:val="22"/>
          <w:szCs w:val="22"/>
        </w:rPr>
        <w:t xml:space="preserve">The complete list of POPs from v0.4, with country, type, schools-served estimate, and primary upstream route.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500"/>
        <w:gridCol w:w="1500"/>
        <w:gridCol w:w="1500"/>
        <w:gridCol w:w="3260"/>
      </w:tblGrid>
      <w:tr>
        <w:trPr>
          <w:tblHeader/>
        </w:trPr>
        <w:tc>
          <w:tcPr>
            <w:tcW w:type="dxa" w:w="16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POP</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Country</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Type</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Schools</w:t>
            </w:r>
          </w:p>
        </w:tc>
        <w:tc>
          <w:tcPr>
            <w:tcW w:type="dxa" w:w="32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Primary route</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Nairobi</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Kenya</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10,000</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Marseille</w:t>
            </w:r>
          </w:p>
        </w:tc>
      </w:tr>
      <w:tr>
        <w:tc>
          <w:tcPr>
            <w:tcW w:type="dxa" w:w="1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Mombasa</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Kenya</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5,000</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Marseille</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Kampala</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Uganda</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10,000</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Nairobi → Marseille</w:t>
            </w:r>
          </w:p>
        </w:tc>
      </w:tr>
      <w:tr>
        <w:tc>
          <w:tcPr>
            <w:tcW w:type="dxa" w:w="1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Nacala</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Mozambique</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1,000</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Mombasa → Marseille</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Lilongwe</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Malawi</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2,000</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Nacala → Marseille</w:t>
            </w:r>
          </w:p>
        </w:tc>
      </w:tr>
      <w:tr>
        <w:tc>
          <w:tcPr>
            <w:tcW w:type="dxa" w:w="1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Blantyre</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Malawi</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2,000</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Nacala → Marseille</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Lagos</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Nigeria</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12,000</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Lisbon</w:t>
            </w:r>
          </w:p>
        </w:tc>
      </w:tr>
      <w:tr>
        <w:tc>
          <w:tcPr>
            <w:tcW w:type="dxa" w:w="1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Dosso</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Niger</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2,000</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Lagos → Lisbon</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Niamey</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Niger</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4,000</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Lagos → Lisbon</w:t>
            </w:r>
          </w:p>
        </w:tc>
      </w:tr>
      <w:tr>
        <w:tc>
          <w:tcPr>
            <w:tcW w:type="dxa" w:w="1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Tetouan</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Morocco</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1,000</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Barcelona</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Nador</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Morocco</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1,000</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Barcelona</w:t>
            </w:r>
          </w:p>
        </w:tc>
      </w:tr>
      <w:tr>
        <w:tc>
          <w:tcPr>
            <w:tcW w:type="dxa" w:w="1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Fez</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Morocco</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1,000</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Barcelona</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Algiers</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Algeria</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Non-hub</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3,000</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Barcelona</w:t>
            </w:r>
          </w:p>
        </w:tc>
      </w:tr>
      <w:tr>
        <w:tc>
          <w:tcPr>
            <w:tcW w:type="dxa" w:w="1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Collo</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Algeria</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2,000</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Barcelona</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Bizerte</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Tunisia</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500</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Barcelona</w:t>
            </w:r>
          </w:p>
        </w:tc>
      </w:tr>
      <w:tr>
        <w:tc>
          <w:tcPr>
            <w:tcW w:type="dxa" w:w="1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Tunis</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Tunisia</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500</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Bizerte → Barcelona</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Misrata</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Libya</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500</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Barcelona</w:t>
            </w:r>
          </w:p>
        </w:tc>
      </w:tr>
      <w:tr>
        <w:tc>
          <w:tcPr>
            <w:tcW w:type="dxa" w:w="1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Benghazi</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Libya</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500</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Barcelona</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Port Said</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Egypt</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Egypt agg.</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Barcelona</w:t>
            </w:r>
          </w:p>
        </w:tc>
      </w:tr>
      <w:tr>
        <w:tc>
          <w:tcPr>
            <w:tcW w:type="dxa" w:w="1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Cairo</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Egypt</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Non-hub</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Egypt agg.</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Barcelona</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4.4 Capacity &amp; traffic plan</w:t>
      </w:r>
    </w:p>
    <w:p>
      <w:pPr>
        <w:spacing w:after="200" w:before="0"/>
      </w:pPr>
      <w:r>
        <w:rPr>
          <w:rFonts w:ascii="Arial" w:cs="Arial" w:eastAsia="Arial" w:hAnsi="Arial"/>
          <w:color w:val="262626"/>
          <w:sz w:val="22"/>
          <w:szCs w:val="22"/>
        </w:rPr>
        <w:t xml:space="preserve">Total submarine capacity purchased by December 2029: 611 Gbit/s, growing to ~1,160 Gbit/s by 2037. Customer traffic ramps from ~95 Gbit/s in 2027 to over 1,000 Gbit/s by 2037, with traffic terminated locally (within Africa, via IXP peering) growing from 33% to 45% of total. The remainder transits to European peering points.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3000"/>
        <w:gridCol w:w="1860"/>
        <w:gridCol w:w="3000"/>
      </w:tblGrid>
      <w:tr>
        <w:trPr>
          <w:tblHeader/>
        </w:trPr>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Year</w:t>
            </w:r>
          </w:p>
        </w:tc>
        <w:tc>
          <w:tcPr>
            <w:tcW w:type="dxa" w:w="30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Customer traffic (Gb/s)</w:t>
            </w:r>
          </w:p>
        </w:tc>
        <w:tc>
          <w:tcPr>
            <w:tcW w:type="dxa" w:w="18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Local term %</w:t>
            </w:r>
          </w:p>
        </w:tc>
        <w:tc>
          <w:tcPr>
            <w:tcW w:type="dxa" w:w="30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Schools end-customers</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2027</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95</w:t>
            </w:r>
          </w:p>
        </w:tc>
        <w:tc>
          <w:tcPr>
            <w:tcW w:type="dxa" w:w="1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33%</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35,864</w:t>
            </w:r>
          </w:p>
        </w:tc>
      </w:tr>
      <w:tr>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2028</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384</w:t>
            </w:r>
          </w:p>
        </w:tc>
        <w:tc>
          <w:tcPr>
            <w:tcW w:type="dxa" w:w="18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40%</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135,198</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2029</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537</w:t>
            </w:r>
          </w:p>
        </w:tc>
        <w:tc>
          <w:tcPr>
            <w:tcW w:type="dxa" w:w="1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46%</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171,861</w:t>
            </w:r>
          </w:p>
        </w:tc>
      </w:tr>
      <w:tr>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2030</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597</w:t>
            </w:r>
          </w:p>
        </w:tc>
        <w:tc>
          <w:tcPr>
            <w:tcW w:type="dxa" w:w="18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45%</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173,486</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2031</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656</w:t>
            </w:r>
          </w:p>
        </w:tc>
        <w:tc>
          <w:tcPr>
            <w:tcW w:type="dxa" w:w="1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44%</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173,488 (cap)</w:t>
            </w:r>
          </w:p>
        </w:tc>
      </w:tr>
      <w:tr>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2035</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1,057</w:t>
            </w:r>
          </w:p>
        </w:tc>
        <w:tc>
          <w:tcPr>
            <w:tcW w:type="dxa" w:w="18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37%</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173,488 (cap)</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4.5 Staffing plan</w:t>
      </w:r>
    </w:p>
    <w:p>
      <w:pPr>
        <w:spacing w:after="200" w:before="0"/>
      </w:pPr>
      <w:r>
        <w:rPr>
          <w:rFonts w:ascii="Arial" w:cs="Arial" w:eastAsia="Arial" w:hAnsi="Arial"/>
          <w:color w:val="262626"/>
          <w:sz w:val="22"/>
          <w:szCs w:val="22"/>
        </w:rPr>
        <w:t xml:space="preserve">Songbird is intentionally lean. The v0.4 model assumes a 4-FTE start scaling to ~6 FTE by year 10. We recommend revising this upward materially — a 20-POP, 11-country operation cannot be run on 6 people. Realistic staffing pattern: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000"/>
        <w:gridCol w:w="1800"/>
        <w:gridCol w:w="1900"/>
        <w:gridCol w:w="1500"/>
        <w:gridCol w:w="1360"/>
      </w:tblGrid>
      <w:tr>
        <w:trPr>
          <w:tblHeader/>
        </w:trPr>
        <w:tc>
          <w:tcPr>
            <w:tcW w:type="dxa" w:w="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Year</w:t>
            </w:r>
          </w:p>
        </w:tc>
        <w:tc>
          <w:tcPr>
            <w:tcW w:type="dxa" w:w="20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HQ (Switzerland/Spain)</w:t>
            </w:r>
          </w:p>
        </w:tc>
        <w:tc>
          <w:tcPr>
            <w:tcW w:type="dxa" w:w="1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Africa regional</w:t>
            </w:r>
          </w:p>
        </w:tc>
        <w:tc>
          <w:tcPr>
            <w:tcW w:type="dxa" w:w="19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Network ops (NOC)</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Total FTE</w:t>
            </w:r>
          </w:p>
        </w:tc>
        <w:tc>
          <w:tcPr>
            <w:tcW w:type="dxa" w:w="13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Indicative cost ($M/yr)</w:t>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2026</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4</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0</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 (outsourced)</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6</w:t>
            </w:r>
          </w:p>
        </w:tc>
        <w:tc>
          <w:tcPr>
            <w:tcW w:type="dxa" w:w="1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$0.7M</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2027</w:t>
            </w:r>
          </w:p>
        </w:tc>
        <w:tc>
          <w:tcPr>
            <w:tcW w:type="dxa" w:w="2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6</w:t>
            </w:r>
          </w:p>
        </w:tc>
        <w:tc>
          <w:tcPr>
            <w:tcW w:type="dxa" w:w="1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4</w:t>
            </w:r>
          </w:p>
        </w:tc>
        <w:tc>
          <w:tcPr>
            <w:tcW w:type="dxa" w:w="1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4 (mixed)</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14</w:t>
            </w:r>
          </w:p>
        </w:tc>
        <w:tc>
          <w:tcPr>
            <w:tcW w:type="dxa" w:w="13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$1.6M</w:t>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2028</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7</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8</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6</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21</w:t>
            </w:r>
          </w:p>
        </w:tc>
        <w:tc>
          <w:tcPr>
            <w:tcW w:type="dxa" w:w="1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$2.5M</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2030</w:t>
            </w:r>
          </w:p>
        </w:tc>
        <w:tc>
          <w:tcPr>
            <w:tcW w:type="dxa" w:w="2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8</w:t>
            </w:r>
          </w:p>
        </w:tc>
        <w:tc>
          <w:tcPr>
            <w:tcW w:type="dxa" w:w="1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12</w:t>
            </w:r>
          </w:p>
        </w:tc>
        <w:tc>
          <w:tcPr>
            <w:tcW w:type="dxa" w:w="1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8</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28</w:t>
            </w:r>
          </w:p>
        </w:tc>
        <w:tc>
          <w:tcPr>
            <w:tcW w:type="dxa" w:w="13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$3.4M</w:t>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2035</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8</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14</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8</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30</w:t>
            </w:r>
          </w:p>
        </w:tc>
        <w:tc>
          <w:tcPr>
            <w:tcW w:type="dxa" w:w="1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$4.1M</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4.6 Regulatory &amp; compliance</w:t>
      </w:r>
    </w:p>
    <w:p>
      <w:pPr>
        <w:pStyle w:val="ListParagraph"/>
        <w:numPr>
          <w:ilvl w:val="0"/>
          <w:numId w:val="2"/>
        </w:numPr>
        <w:spacing w:after="40" w:before="40"/>
      </w:pPr>
      <w:r>
        <w:rPr>
          <w:rFonts w:ascii="Arial" w:cs="Arial" w:eastAsia="Arial" w:hAnsi="Arial"/>
          <w:b/>
          <w:bCs/>
          <w:color w:val="262626"/>
          <w:sz w:val="22"/>
          <w:szCs w:val="22"/>
        </w:rPr>
        <w:t xml:space="preserve">Operating licences: </w:t>
      </w:r>
      <w:r>
        <w:rPr>
          <w:rFonts w:ascii="Arial" w:cs="Arial" w:eastAsia="Arial" w:hAnsi="Arial"/>
          <w:color w:val="262626"/>
          <w:sz w:val="22"/>
          <w:szCs w:val="22"/>
        </w:rPr>
        <w:t xml:space="preserve">11 country-level wholesale telecom licences. Costs vary $5–50k initial + $5–15k/yr per country. v0.4 model assumes $10k/country.</w:t>
      </w:r>
    </w:p>
    <w:p>
      <w:pPr>
        <w:pStyle w:val="ListParagraph"/>
        <w:numPr>
          <w:ilvl w:val="0"/>
          <w:numId w:val="2"/>
        </w:numPr>
        <w:spacing w:after="40" w:before="40"/>
      </w:pPr>
      <w:r>
        <w:rPr>
          <w:rFonts w:ascii="Arial" w:cs="Arial" w:eastAsia="Arial" w:hAnsi="Arial"/>
          <w:b/>
          <w:bCs/>
          <w:color w:val="262626"/>
          <w:sz w:val="22"/>
          <w:szCs w:val="22"/>
        </w:rPr>
        <w:t xml:space="preserve">Spectrum: </w:t>
      </w:r>
      <w:r>
        <w:rPr>
          <w:rFonts w:ascii="Arial" w:cs="Arial" w:eastAsia="Arial" w:hAnsi="Arial"/>
          <w:color w:val="262626"/>
          <w:sz w:val="22"/>
          <w:szCs w:val="22"/>
        </w:rPr>
        <w:t xml:space="preserve">Not required (wholesale fibre operator only).</w:t>
      </w:r>
    </w:p>
    <w:p>
      <w:pPr>
        <w:pStyle w:val="ListParagraph"/>
        <w:numPr>
          <w:ilvl w:val="0"/>
          <w:numId w:val="2"/>
        </w:numPr>
        <w:spacing w:after="40" w:before="40"/>
      </w:pPr>
      <w:r>
        <w:rPr>
          <w:rFonts w:ascii="Arial" w:cs="Arial" w:eastAsia="Arial" w:hAnsi="Arial"/>
          <w:b/>
          <w:bCs/>
          <w:color w:val="262626"/>
          <w:sz w:val="22"/>
          <w:szCs w:val="22"/>
        </w:rPr>
        <w:t xml:space="preserve">Tax structure: </w:t>
      </w:r>
      <w:r>
        <w:rPr>
          <w:rFonts w:ascii="Arial" w:cs="Arial" w:eastAsia="Arial" w:hAnsi="Arial"/>
          <w:color w:val="262626"/>
          <w:sz w:val="22"/>
          <w:szCs w:val="22"/>
        </w:rPr>
        <w:t xml:space="preserve">Swiss Foundation parent, Songbird operating company in commercial-friendly jurisdiction (likely Mauritius or Malta for African ops), local subsidiaries where required by regulator.</w:t>
      </w:r>
    </w:p>
    <w:p>
      <w:pPr>
        <w:pStyle w:val="ListParagraph"/>
        <w:numPr>
          <w:ilvl w:val="0"/>
          <w:numId w:val="2"/>
        </w:numPr>
        <w:spacing w:after="40" w:before="40"/>
      </w:pPr>
      <w:r>
        <w:rPr>
          <w:rFonts w:ascii="Arial" w:cs="Arial" w:eastAsia="Arial" w:hAnsi="Arial"/>
          <w:b/>
          <w:bCs/>
          <w:color w:val="262626"/>
          <w:sz w:val="22"/>
          <w:szCs w:val="22"/>
        </w:rPr>
        <w:t xml:space="preserve">Data sovereignty: </w:t>
      </w:r>
      <w:r>
        <w:rPr>
          <w:rFonts w:ascii="Arial" w:cs="Arial" w:eastAsia="Arial" w:hAnsi="Arial"/>
          <w:color w:val="262626"/>
          <w:sz w:val="22"/>
          <w:szCs w:val="22"/>
        </w:rPr>
        <w:t xml:space="preserve">No customer data is hosted on Songbird infrastructure. Capacity-only model. Removes most regulatory risk.</w:t>
      </w:r>
    </w:p>
    <w:p>
      <w:pPr>
        <w:pStyle w:val="ListParagraph"/>
        <w:numPr>
          <w:ilvl w:val="0"/>
          <w:numId w:val="2"/>
        </w:numPr>
        <w:spacing w:after="40" w:before="40"/>
      </w:pPr>
      <w:r>
        <w:rPr>
          <w:rFonts w:ascii="Arial" w:cs="Arial" w:eastAsia="Arial" w:hAnsi="Arial"/>
          <w:b/>
          <w:bCs/>
          <w:color w:val="262626"/>
          <w:sz w:val="22"/>
          <w:szCs w:val="22"/>
        </w:rPr>
        <w:t xml:space="preserve">ESG / impact reporting: </w:t>
      </w:r>
      <w:r>
        <w:rPr>
          <w:rFonts w:ascii="Arial" w:cs="Arial" w:eastAsia="Arial" w:hAnsi="Arial"/>
          <w:color w:val="262626"/>
          <w:sz w:val="22"/>
          <w:szCs w:val="22"/>
        </w:rPr>
        <w:t xml:space="preserve">Annual report on schools connected, traffic delivered, donor-tracked KPIs. Independent verification.</w:t>
      </w:r>
    </w:p>
    <w:p>
      <w:pPr>
        <w:pStyle w:val="Heading1"/>
        <w:pageBreakBefore/>
        <w:spacing w:after="200" w:before="240"/>
      </w:pPr>
      <w:r>
        <w:rPr>
          <w:rFonts w:ascii="Arial" w:cs="Arial" w:eastAsia="Arial" w:hAnsi="Arial"/>
          <w:b/>
          <w:bCs/>
          <w:color w:val="0b3d2e"/>
          <w:sz w:val="36"/>
          <w:szCs w:val="36"/>
        </w:rPr>
        <w:t xml:space="preserve">5. Unit Economics — Every Input, With Sources</w:t>
      </w:r>
    </w:p>
    <w:p>
      <w:pPr>
        <w:spacing w:after="200" w:before="0"/>
      </w:pPr>
      <w:r>
        <w:rPr>
          <w:rFonts w:ascii="Arial" w:cs="Arial" w:eastAsia="Arial" w:hAnsi="Arial"/>
          <w:color w:val="262626"/>
          <w:sz w:val="22"/>
          <w:szCs w:val="22"/>
        </w:rPr>
        <w:t xml:space="preserve">This section enumerates every parameter in the v0.4 financial model, adds a certainty rating, references against industry sources where possible, and provides a low/high sensitivity band. The full sensitivity workbench is in the accompanying Excel model.</w:t>
      </w:r>
    </w:p>
    <w:p>
      <w:pPr>
        <w:spacing w:after="80" w:before="160"/>
      </w:pPr>
      <w:r>
        <w:rPr>
          <w:rFonts w:ascii="Arial" w:cs="Arial" w:eastAsia="Arial" w:hAnsi="Arial"/>
          <w:b/>
          <w:bCs/>
          <w:i/>
          <w:iCs/>
          <w:color w:val="595959"/>
          <w:sz w:val="22"/>
          <w:szCs w:val="22"/>
        </w:rPr>
        <w:t xml:space="preserve">Certainty legend</w:t>
      </w:r>
    </w:p>
    <w:p>
      <w:pPr>
        <w:spacing w:after="200" w:before="0"/>
      </w:pPr>
      <w:r>
        <w:rPr>
          <w:rFonts w:ascii="Arial" w:cs="Arial" w:eastAsia="Arial" w:hAnsi="Arial"/>
          <w:i/>
          <w:iCs/>
          <w:color w:val="595959"/>
          <w:sz w:val="20"/>
          <w:szCs w:val="20"/>
        </w:rPr>
        <w:t xml:space="preserve">● High: well-grounded in named industry source or operational fact   ● Medium: industry-typical with some Songbird-specific risk   ● Low: estimate, frequently flagged in v0.4 by author</w:t>
      </w:r>
    </w:p>
    <w:p>
      <w:pPr>
        <w:pStyle w:val="Heading2"/>
        <w:spacing w:after="160" w:before="320"/>
      </w:pPr>
      <w:r>
        <w:rPr>
          <w:rFonts w:ascii="Arial" w:cs="Arial" w:eastAsia="Arial" w:hAnsi="Arial"/>
          <w:b/>
          <w:bCs/>
          <w:color w:val="1a1a1a"/>
          <w:sz w:val="28"/>
          <w:szCs w:val="28"/>
        </w:rPr>
        <w:t xml:space="preserve">5.1 Network &amp; operations parameters</w:t>
      </w:r>
    </w:p>
    <w:p>
      <w:pPr>
        <w:pStyle w:val="Heading3"/>
        <w:spacing w:after="120" w:before="240"/>
      </w:pPr>
      <w:r>
        <w:rPr>
          <w:rFonts w:ascii="Arial" w:cs="Arial" w:eastAsia="Arial" w:hAnsi="Arial"/>
          <w:b/>
          <w:bCs/>
          <w:color w:val="1a1a1a"/>
          <w:sz w:val="24"/>
          <w:szCs w:val="24"/>
        </w:rPr>
        <w:t xml:space="preserve">POPs in scope</w:t>
      </w:r>
    </w:p>
    <w:p>
      <w:pPr>
        <w:spacing w:after="80" w:before="0"/>
      </w:pPr>
      <w:r>
        <w:rPr>
          <w:rFonts w:ascii="Arial" w:cs="Arial" w:eastAsia="Arial" w:hAnsi="Arial"/>
          <w:b/>
          <w:bCs/>
          <w:sz w:val="22"/>
          <w:szCs w:val="22"/>
        </w:rPr>
        <w:t xml:space="preserve">v0.4 value: </w:t>
      </w:r>
      <w:r>
        <w:rPr>
          <w:rFonts w:ascii="Arial" w:cs="Arial" w:eastAsia="Arial" w:hAnsi="Arial"/>
          <w:sz w:val="22"/>
          <w:szCs w:val="22"/>
        </w:rPr>
        <w:t xml:space="preserve">20  ·  </w:t>
      </w:r>
      <w:r>
        <w:rPr>
          <w:rFonts w:ascii="Arial" w:cs="Arial" w:eastAsia="Arial" w:hAnsi="Arial"/>
          <w:b/>
          <w:bCs/>
          <w:sz w:val="22"/>
          <w:szCs w:val="22"/>
        </w:rPr>
        <w:t xml:space="preserve">Certainty: </w:t>
      </w:r>
      <w:r>
        <w:rPr>
          <w:rFonts w:ascii="Arial" w:cs="Arial" w:eastAsia="Arial" w:hAnsi="Arial"/>
          <w:color w:val="0b6e4f"/>
          <w:sz w:val="22"/>
          <w:szCs w:val="22"/>
        </w:rPr>
        <w:t xml:space="preserve">High (design decision)  ·  </w:t>
      </w:r>
      <w:r>
        <w:rPr>
          <w:rFonts w:ascii="Arial" w:cs="Arial" w:eastAsia="Arial" w:hAnsi="Arial"/>
          <w:b/>
          <w:bCs/>
          <w:sz w:val="22"/>
          <w:szCs w:val="22"/>
        </w:rPr>
        <w:t xml:space="preserve">Low / High band: </w:t>
      </w:r>
      <w:r>
        <w:rPr>
          <w:rFonts w:ascii="Arial" w:cs="Arial" w:eastAsia="Arial" w:hAnsi="Arial"/>
          <w:sz w:val="22"/>
          <w:szCs w:val="22"/>
        </w:rPr>
        <w:t xml:space="preserve">3 / 25</w:t>
      </w:r>
    </w:p>
    <w:p>
      <w:pPr>
        <w:spacing w:after="200" w:before="0"/>
      </w:pPr>
      <w:r>
        <w:rPr>
          <w:rFonts w:ascii="Arial" w:cs="Arial" w:eastAsia="Arial" w:hAnsi="Arial"/>
          <w:color w:val="262626"/>
          <w:sz w:val="22"/>
          <w:szCs w:val="22"/>
        </w:rPr>
        <w:t xml:space="preserve">20 POPs across 11 countries is the long-term design from the Songbird positioning document. The minimum viable configuration is 3 POPs (Kenya + Uganda + Lagos) which captures the highest school density and validates the wholesale model. The economic case scales sub-linearly past 20 POPs — operational complexity rises faster than incremental revenue.</w:t>
      </w:r>
    </w:p>
    <w:p>
      <w:pPr>
        <w:pStyle w:val="Heading3"/>
        <w:spacing w:after="120" w:before="240"/>
      </w:pPr>
      <w:r>
        <w:rPr>
          <w:rFonts w:ascii="Arial" w:cs="Arial" w:eastAsia="Arial" w:hAnsi="Arial"/>
          <w:b/>
          <w:bCs/>
          <w:color w:val="1a1a1a"/>
          <w:sz w:val="24"/>
          <w:szCs w:val="24"/>
        </w:rPr>
        <w:t xml:space="preserve">Giga IPT discount</w:t>
      </w:r>
    </w:p>
    <w:p>
      <w:pPr>
        <w:spacing w:after="80" w:before="0"/>
      </w:pPr>
      <w:r>
        <w:rPr>
          <w:rFonts w:ascii="Arial" w:cs="Arial" w:eastAsia="Arial" w:hAnsi="Arial"/>
          <w:b/>
          <w:bCs/>
          <w:sz w:val="22"/>
          <w:szCs w:val="22"/>
        </w:rPr>
        <w:t xml:space="preserve">v0.4 value: </w:t>
      </w:r>
      <w:r>
        <w:rPr>
          <w:rFonts w:ascii="Arial" w:cs="Arial" w:eastAsia="Arial" w:hAnsi="Arial"/>
          <w:sz w:val="22"/>
          <w:szCs w:val="22"/>
        </w:rPr>
        <w:t xml:space="preserve">80% off market (cell labelled "Giga IPT discount to market price" = 0.2)  ·  </w:t>
      </w:r>
      <w:r>
        <w:rPr>
          <w:rFonts w:ascii="Arial" w:cs="Arial" w:eastAsia="Arial" w:hAnsi="Arial"/>
          <w:b/>
          <w:bCs/>
          <w:sz w:val="22"/>
          <w:szCs w:val="22"/>
        </w:rPr>
        <w:t xml:space="preserve">Certainty: </w:t>
      </w:r>
      <w:r>
        <w:rPr>
          <w:rFonts w:ascii="Arial" w:cs="Arial" w:eastAsia="Arial" w:hAnsi="Arial"/>
          <w:color w:val="b91c1c"/>
          <w:sz w:val="22"/>
          <w:szCs w:val="22"/>
        </w:rPr>
        <w:t xml:space="preserve">Low — single most consequential input  ·  </w:t>
      </w:r>
      <w:r>
        <w:rPr>
          <w:rFonts w:ascii="Arial" w:cs="Arial" w:eastAsia="Arial" w:hAnsi="Arial"/>
          <w:b/>
          <w:bCs/>
          <w:sz w:val="22"/>
          <w:szCs w:val="22"/>
        </w:rPr>
        <w:t xml:space="preserve">Band: </w:t>
      </w:r>
      <w:r>
        <w:rPr>
          <w:rFonts w:ascii="Arial" w:cs="Arial" w:eastAsia="Arial" w:hAnsi="Arial"/>
          <w:sz w:val="22"/>
          <w:szCs w:val="22"/>
        </w:rPr>
        <w:t xml:space="preserve">30% / 90%</w:t>
      </w:r>
    </w:p>
    <w:p>
      <w:pPr>
        <w:spacing w:after="200" w:before="0"/>
      </w:pPr>
      <w:r>
        <w:rPr>
          <w:rFonts w:ascii="Arial" w:cs="Arial" w:eastAsia="Arial" w:hAnsi="Arial"/>
          <w:color w:val="262626"/>
          <w:sz w:val="22"/>
          <w:szCs w:val="22"/>
        </w:rPr>
        <w:t xml:space="preserve">This is the wholesale-to-Giga price as a fraction of commercial market rates. Set too low (90%) the school revenue approaches zero; set too high (30%) the donor case collapses and Giga procurement walks away. No public benchmark exists for this exact pricing — it must be co-designed with Giga and ITU. Sensitivity: every 10 percentage points moves Y3 revenue by approximately $0.3M.</w:t>
      </w:r>
    </w:p>
    <w:p>
      <w:pPr>
        <w:pStyle w:val="Heading3"/>
        <w:spacing w:after="120" w:before="240"/>
      </w:pPr>
      <w:r>
        <w:rPr>
          <w:rFonts w:ascii="Arial" w:cs="Arial" w:eastAsia="Arial" w:hAnsi="Arial"/>
          <w:b/>
          <w:bCs/>
          <w:color w:val="1a1a1a"/>
          <w:sz w:val="24"/>
          <w:szCs w:val="24"/>
        </w:rPr>
        <w:t xml:space="preserve">IRU vs lease share</w:t>
      </w:r>
    </w:p>
    <w:p>
      <w:pPr>
        <w:spacing w:after="80" w:before="0"/>
      </w:pPr>
      <w:r>
        <w:rPr>
          <w:rFonts w:ascii="Arial" w:cs="Arial" w:eastAsia="Arial" w:hAnsi="Arial"/>
          <w:b/>
          <w:bCs/>
          <w:sz w:val="22"/>
          <w:szCs w:val="22"/>
        </w:rPr>
        <w:t xml:space="preserve">v0.4 value: </w:t>
      </w:r>
      <w:r>
        <w:rPr>
          <w:rFonts w:ascii="Arial" w:cs="Arial" w:eastAsia="Arial" w:hAnsi="Arial"/>
          <w:sz w:val="22"/>
          <w:szCs w:val="22"/>
        </w:rPr>
        <w:t xml:space="preserve">~80% IRU / 20% lease (implicit)  ·  </w:t>
      </w:r>
      <w:r>
        <w:rPr>
          <w:rFonts w:ascii="Arial" w:cs="Arial" w:eastAsia="Arial" w:hAnsi="Arial"/>
          <w:b/>
          <w:bCs/>
          <w:sz w:val="22"/>
          <w:szCs w:val="22"/>
        </w:rPr>
        <w:t xml:space="preserve">Certainty: </w:t>
      </w:r>
      <w:r>
        <w:rPr>
          <w:rFonts w:ascii="Arial" w:cs="Arial" w:eastAsia="Arial" w:hAnsi="Arial"/>
          <w:color w:val="0b6e4f"/>
          <w:sz w:val="22"/>
          <w:szCs w:val="22"/>
        </w:rPr>
        <w:t xml:space="preserve">High (decision)  ·  </w:t>
      </w:r>
      <w:r>
        <w:rPr>
          <w:rFonts w:ascii="Arial" w:cs="Arial" w:eastAsia="Arial" w:hAnsi="Arial"/>
          <w:b/>
          <w:bCs/>
          <w:sz w:val="22"/>
          <w:szCs w:val="22"/>
        </w:rPr>
        <w:t xml:space="preserve">Band: </w:t>
      </w:r>
      <w:r>
        <w:rPr>
          <w:rFonts w:ascii="Arial" w:cs="Arial" w:eastAsia="Arial" w:hAnsi="Arial"/>
          <w:sz w:val="22"/>
          <w:szCs w:val="22"/>
        </w:rPr>
        <w:t xml:space="preserve">0% / 100%</w:t>
      </w:r>
    </w:p>
    <w:p>
      <w:pPr>
        <w:spacing w:after="200" w:before="0"/>
      </w:pPr>
      <w:r>
        <w:rPr>
          <w:rFonts w:ascii="Arial" w:cs="Arial" w:eastAsia="Arial" w:hAnsi="Arial"/>
          <w:color w:val="262626"/>
          <w:sz w:val="22"/>
          <w:szCs w:val="22"/>
        </w:rPr>
        <w:t xml:space="preserve">IRU = prepaid 15-year capacity (capex). Lease = monthly recurring (opex). v0.4 defaults to IRU because the model is precise on IRU pricing. Leasing the same capacity costs roughly 1.5–2x amortised IRU but eliminates the upfront capital commitment. Recommendation: IRU only confirmed-demand routes (Nairobi-Marseille, Lagos-Lisbon, Algiers-Barcelona), lease the rest for the first 3 years. Saves $4–5M of peak capex.</w:t>
      </w:r>
    </w:p>
    <w:p>
      <w:pPr>
        <w:pStyle w:val="Heading2"/>
        <w:spacing w:after="160" w:before="320"/>
      </w:pPr>
      <w:r>
        <w:rPr>
          <w:rFonts w:ascii="Arial" w:cs="Arial" w:eastAsia="Arial" w:hAnsi="Arial"/>
          <w:b/>
          <w:bCs/>
          <w:color w:val="1a1a1a"/>
          <w:sz w:val="28"/>
          <w:szCs w:val="28"/>
        </w:rPr>
        <w:t xml:space="preserve">5.2 Unit cost parameters — capex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800"/>
        <w:gridCol w:w="1500"/>
        <w:gridCol w:w="700"/>
        <w:gridCol w:w="1500"/>
        <w:gridCol w:w="2660"/>
      </w:tblGrid>
      <w:tr>
        <w:trPr>
          <w:tblHeader/>
        </w:trPr>
        <w:tc>
          <w:tcPr>
            <w:tcW w:type="dxa" w:w="22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Parameter</w:t>
            </w:r>
          </w:p>
        </w:tc>
        <w:tc>
          <w:tcPr>
            <w:tcW w:type="dxa" w:w="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v0.4</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Source</w:t>
            </w:r>
          </w:p>
        </w:tc>
        <w:tc>
          <w:tcPr>
            <w:tcW w:type="dxa" w:w="7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Cert.</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Low–High band</w:t>
            </w:r>
          </w:p>
        </w:tc>
        <w:tc>
          <w:tcPr>
            <w:tcW w:type="dxa" w:w="26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Note</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hub POP equipment</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$40k</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Robert Schumann estimate</w:t>
            </w:r>
          </w:p>
        </w:tc>
        <w:tc>
          <w:tcPr>
            <w:tcW w:type="dxa" w:w="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Low</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$25k–$300k</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v0.4 number is implausibly low; production gear $150–500k typical</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Non-Africa hub equipment</w:t>
            </w:r>
          </w:p>
        </w:tc>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$40k</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Same</w:t>
            </w:r>
          </w:p>
        </w:tc>
        <w:tc>
          <w:tcPr>
            <w:tcW w:type="dxa" w:w="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Low</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$25k–$300k</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Same as above</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Non-hub equipment</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$5k</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Same</w:t>
            </w:r>
          </w:p>
        </w:tc>
        <w:tc>
          <w:tcPr>
            <w:tcW w:type="dxa" w:w="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Low</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$5k–$50k</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Reasonable only if co-located in existing carrier facility</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Nairobi–Marseille IRU (100G)</w:t>
            </w:r>
          </w:p>
        </w:tc>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$3.44M</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Ben Roberts (Liquid)</w:t>
            </w:r>
          </w:p>
        </w:tc>
        <w:tc>
          <w:tcPr>
            <w:tcW w:type="dxa" w:w="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$2.5M–$4.5M</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Most-used East Africa route; consistent with 2Africa wholesale tier</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Mombasa–Marseille IRU</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$2.02M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Ben Roberts</w:t>
            </w:r>
          </w:p>
        </w:tc>
        <w:tc>
          <w:tcPr>
            <w:tcW w:type="dxa" w:w="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$1.5M–$3M</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EASSy / 2Africa secondary route</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Kampala–Nairobi terrestrial IRU</w:t>
            </w:r>
          </w:p>
        </w:tc>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$1.42M</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Ben Roberts</w:t>
            </w:r>
          </w:p>
        </w:tc>
        <w:tc>
          <w:tcPr>
            <w:tcW w:type="dxa" w:w="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$0.8M–$2.5M</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Liquid / Wingu / SEACOM landside pricing</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Lagos–Lisbon IRU (Equiano)</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$1.26M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Ben Roberts</w:t>
            </w:r>
          </w:p>
        </w:tc>
        <w:tc>
          <w:tcPr>
            <w:tcW w:type="dxa" w:w="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$1M–$2.5M</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Equiano consortium pricing</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Maghreb–Barcelona (each)</w:t>
            </w:r>
          </w:p>
        </w:tc>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$0.40M</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Schumann estimate</w:t>
            </w:r>
          </w:p>
        </w:tc>
        <w:tc>
          <w:tcPr>
            <w:tcW w:type="dxa" w:w="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Low</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$0.3M–$1.5M</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Medusa construction-time pricing plausibly cheaper</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Niamey–Lagos IRU</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$4.0M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Schumann estimate</w:t>
            </w:r>
          </w:p>
        </w:tc>
        <w:tc>
          <w:tcPr>
            <w:tcW w:type="dxa" w:w="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Low</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$1.5M–$4M</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High due to terrestrial distance / supplier scarcity</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25-year operating licence</w:t>
            </w:r>
          </w:p>
        </w:tc>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$10k</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Schumann estimate</w:t>
            </w:r>
          </w:p>
        </w:tc>
        <w:tc>
          <w:tcPr>
            <w:tcW w:type="dxa" w:w="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$5k–$50k</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Varies by jurisdiction; KE/NG higher than smaller markets</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5.3 Unit cost parameters — opex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800"/>
        <w:gridCol w:w="1500"/>
        <w:gridCol w:w="700"/>
        <w:gridCol w:w="1500"/>
        <w:gridCol w:w="2660"/>
      </w:tblGrid>
      <w:tr>
        <w:trPr>
          <w:tblHeader/>
        </w:trPr>
        <w:tc>
          <w:tcPr>
            <w:tcW w:type="dxa" w:w="22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Parameter</w:t>
            </w:r>
          </w:p>
        </w:tc>
        <w:tc>
          <w:tcPr>
            <w:tcW w:type="dxa" w:w="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v0.4 (Y4)</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Source</w:t>
            </w:r>
          </w:p>
        </w:tc>
        <w:tc>
          <w:tcPr>
            <w:tcW w:type="dxa" w:w="7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Cert.</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Low–High band</w:t>
            </w:r>
          </w:p>
        </w:tc>
        <w:tc>
          <w:tcPr>
            <w:tcW w:type="dxa" w:w="26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Note</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Total circuit O&amp;M (annual)</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$613k</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4% of IRU capex</w:t>
            </w:r>
          </w:p>
        </w:tc>
        <w:tc>
          <w:tcPr>
            <w:tcW w:type="dxa" w:w="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3%–5%</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Industry standard for subsea cable O&amp;M</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Total IXP port fees</w:t>
            </w:r>
          </w:p>
        </w:tc>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$175k</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Public IXP price sheets</w:t>
            </w:r>
          </w:p>
        </w:tc>
        <w:tc>
          <w:tcPr>
            <w:tcW w:type="dxa" w:w="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High</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$100–250k</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KIXP, IXPN, UIXP price sheets verified</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Total IP transit (non-Africa)</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$191k</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TeleGeography</w:t>
            </w:r>
          </w:p>
        </w:tc>
        <w:tc>
          <w:tcPr>
            <w:tcW w:type="dxa" w:w="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High</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$80–250k</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Could approach $0 with hyperscaler peering</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Manual circuits O&amp;M</w:t>
            </w:r>
          </w:p>
        </w:tc>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$73k</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Estimate</w:t>
            </w:r>
          </w:p>
        </w:tc>
        <w:tc>
          <w:tcPr>
            <w:tcW w:type="dxa" w:w="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$50–150k</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Terrestrial backhaul maintenance</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Total staff payroll</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$572k</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Estimate (4–6 FTE)</w:t>
            </w:r>
          </w:p>
        </w:tc>
        <w:tc>
          <w:tcPr>
            <w:tcW w:type="dxa" w:w="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Low</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$1.5M–$2.5M</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v0.4 dramatically under-staffed for 11-country op</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IT costs</w:t>
            </w:r>
          </w:p>
        </w:tc>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$200k/yr flat</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Estimate</w:t>
            </w:r>
          </w:p>
        </w:tc>
        <w:tc>
          <w:tcPr>
            <w:tcW w:type="dxa" w:w="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$120k–$400k</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OSS/BSS, monitoring, billing</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Equipment hosting (colo)</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$253k</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DC rate sheets</w:t>
            </w:r>
          </w:p>
        </w:tc>
        <w:tc>
          <w:tcPr>
            <w:tcW w:type="dxa" w:w="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High</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$200k–$350k</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Data Centres, Raxio, Digital Realty pricing</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Local + central overheads</w:t>
            </w:r>
          </w:p>
        </w:tc>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$195k</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Estimate</w:t>
            </w:r>
          </w:p>
        </w:tc>
        <w:tc>
          <w:tcPr>
            <w:tcW w:type="dxa" w:w="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Low</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$0.7M–$1.2M</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v0.4 underestimates 11-country compliance overhead</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5.4 Revenue 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900"/>
        <w:gridCol w:w="1500"/>
        <w:gridCol w:w="700"/>
        <w:gridCol w:w="3860"/>
      </w:tblGrid>
      <w:tr>
        <w:trPr>
          <w:tblHeader/>
        </w:trPr>
        <w:tc>
          <w:tcPr>
            <w:tcW w:type="dxa" w:w="2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Parameter</w:t>
            </w:r>
          </w:p>
        </w:tc>
        <w:tc>
          <w:tcPr>
            <w:tcW w:type="dxa" w:w="9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v0.4</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Source</w:t>
            </w:r>
          </w:p>
        </w:tc>
        <w:tc>
          <w:tcPr>
            <w:tcW w:type="dxa" w:w="7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Cert.</w:t>
            </w:r>
          </w:p>
        </w:tc>
        <w:tc>
          <w:tcPr>
            <w:tcW w:type="dxa" w:w="38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Note</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Schools mapped per POP</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500–12,000</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Giga / projectconnect</w:t>
            </w:r>
          </w:p>
        </w:tc>
        <w:tc>
          <w:tcPr>
            <w:tcW w:type="dxa" w:w="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High</w:t>
            </w:r>
          </w:p>
        </w:tc>
        <w:tc>
          <w:tcPr>
            <w:tcW w:type="dxa" w:w="3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Pulled from Giga Jan 2026 dataset</w:t>
            </w:r>
          </w:p>
        </w:tc>
      </w:tr>
      <w:tr>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Initial school penetration</w:t>
            </w:r>
          </w:p>
        </w:tc>
        <w:tc>
          <w:tcPr>
            <w:tcW w:type="dxa" w:w="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0–10%</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Schumann estimate</w:t>
            </w:r>
          </w:p>
        </w:tc>
        <w:tc>
          <w:tcPr>
            <w:tcW w:type="dxa" w:w="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w:t>
            </w:r>
          </w:p>
        </w:tc>
        <w:tc>
          <w:tcPr>
            <w:tcW w:type="dxa" w:w="38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Per-POP, varies by market readiness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Final school penetration</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20–80%</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Schumann estimate</w:t>
            </w:r>
          </w:p>
        </w:tc>
        <w:tc>
          <w:tcPr>
            <w:tcW w:type="dxa" w:w="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w:t>
            </w:r>
          </w:p>
        </w:tc>
        <w:tc>
          <w:tcPr>
            <w:tcW w:type="dxa" w:w="3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Per-POP, varies by market readiness</w:t>
            </w:r>
          </w:p>
        </w:tc>
      </w:tr>
      <w:tr>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Penetration midpoint (months)</w:t>
            </w:r>
          </w:p>
        </w:tc>
        <w:tc>
          <w:tcPr>
            <w:tcW w:type="dxa" w:w="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14–30</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Schumann estimate</w:t>
            </w:r>
          </w:p>
        </w:tc>
        <w:tc>
          <w:tcPr>
            <w:tcW w:type="dxa" w:w="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w:t>
            </w:r>
          </w:p>
        </w:tc>
        <w:tc>
          <w:tcPr>
            <w:tcW w:type="dxa" w:w="38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Time to reach 50% of final penetration</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IPT price 2026 ($/Mb/month)</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$0.50–$5</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Ben Roberts + estimates</w:t>
            </w:r>
          </w:p>
        </w:tc>
        <w:tc>
          <w:tcPr>
            <w:tcW w:type="dxa" w:w="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w:t>
            </w:r>
          </w:p>
        </w:tc>
        <w:tc>
          <w:tcPr>
            <w:tcW w:type="dxa" w:w="3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Per-POP; Nairobi/Lagos/Cairo $0.50 (most competitive)</w:t>
            </w:r>
          </w:p>
        </w:tc>
      </w:tr>
      <w:tr>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IPT annual price decline</w:t>
            </w:r>
          </w:p>
        </w:tc>
        <w:tc>
          <w:tcPr>
            <w:tcW w:type="dxa" w:w="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10%</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TeleGeography</w:t>
            </w:r>
          </w:p>
        </w:tc>
        <w:tc>
          <w:tcPr>
            <w:tcW w:type="dxa" w:w="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High</w:t>
            </w:r>
          </w:p>
        </w:tc>
        <w:tc>
          <w:tcPr>
            <w:tcW w:type="dxa" w:w="38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Historical African IPT decline 8–15%/yr 2018-2024</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Traffic served locally (final)</w:t>
            </w:r>
          </w:p>
        </w:tc>
        <w:tc>
          <w:tcPr>
            <w:tcW w:type="dxa" w:w="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0–80%</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Ben Roberts estimates</w:t>
            </w:r>
          </w:p>
        </w:tc>
        <w:tc>
          <w:tcPr>
            <w:tcW w:type="dxa" w:w="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w:t>
            </w:r>
          </w:p>
        </w:tc>
        <w:tc>
          <w:tcPr>
            <w:tcW w:type="dxa" w:w="3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Higher in Kenya/Uganda (mature IXP), lower in Niger</w:t>
            </w:r>
          </w:p>
        </w:tc>
      </w:tr>
      <w:tr>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Health centres included</w:t>
            </w:r>
          </w:p>
        </w:tc>
        <w:tc>
          <w:tcPr>
            <w:tcW w:type="dxa" w:w="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100%</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Switch</w:t>
            </w:r>
          </w:p>
        </w:tc>
        <w:tc>
          <w:tcPr>
            <w:tcW w:type="dxa" w:w="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High</w:t>
            </w:r>
          </w:p>
        </w:tc>
        <w:tc>
          <w:tcPr>
            <w:tcW w:type="dxa" w:w="38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Toggle to exclude if desired</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5.5 Financing 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500"/>
        <w:gridCol w:w="1500"/>
        <w:gridCol w:w="1900"/>
        <w:gridCol w:w="2260"/>
      </w:tblGrid>
      <w:tr>
        <w:trPr>
          <w:tblHeader/>
        </w:trPr>
        <w:tc>
          <w:tcPr>
            <w:tcW w:type="dxa" w:w="22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Parameter</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v0.4</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Suggested</w:t>
            </w:r>
          </w:p>
        </w:tc>
        <w:tc>
          <w:tcPr>
            <w:tcW w:type="dxa" w:w="19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Source</w:t>
            </w:r>
          </w:p>
        </w:tc>
        <w:tc>
          <w:tcPr>
            <w:tcW w:type="dxa" w:w="22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Note</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Grant financing (Y1)</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$5–25M</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EU public stack analysis</w:t>
            </w:r>
          </w:p>
        </w:tc>
        <w:tc>
          <w:tcPr>
            <w:tcW w:type="dxa" w:w="2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AECID/FEDES + EIB Global + EU Global Gateway</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Debt financing</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$0</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$5–15M</w:t>
            </w:r>
          </w:p>
        </w:tc>
        <w:tc>
          <w:tcPr>
            <w:tcW w:type="dxa" w:w="1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EAIF, EIB, IFC</w:t>
            </w:r>
          </w:p>
        </w:tc>
        <w:tc>
          <w:tcPr>
            <w:tcW w:type="dxa" w:w="2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Concessional debt at 2–6% with EFSD+ guarantee</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Equity financing</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$0</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$3–15M</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Convergence, Proparco, BII</w:t>
            </w:r>
          </w:p>
        </w:tc>
        <w:tc>
          <w:tcPr>
            <w:tcW w:type="dxa" w:w="2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Patient capital, 10y horizon</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Tax (effective rate)</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 of revenue</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15–30% on EBIT</w:t>
            </w:r>
          </w:p>
        </w:tc>
        <w:tc>
          <w:tcPr>
            <w:tcW w:type="dxa" w:w="1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OECD statutory rates</w:t>
            </w:r>
          </w:p>
        </w:tc>
        <w:tc>
          <w:tcPr>
            <w:tcW w:type="dxa" w:w="2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v0.4 hardcodes 1% — wildly under-models tax</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Working capital</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0</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10–15% of revenue</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Telecom industry norm</w:t>
            </w:r>
          </w:p>
        </w:tc>
        <w:tc>
          <w:tcPr>
            <w:tcW w:type="dxa" w:w="2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v0.4 zeroes this with comment "assume small"</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FX depreciation</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Not used</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0–10%/yr</w:t>
            </w:r>
          </w:p>
        </w:tc>
        <w:tc>
          <w:tcPr>
            <w:tcW w:type="dxa" w:w="1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IMF forecasts</w:t>
            </w:r>
          </w:p>
        </w:tc>
        <w:tc>
          <w:tcPr>
            <w:tcW w:type="dxa" w:w="2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v0.4 explicitly flags as unused; material risk if revenue is LCU</w:t>
            </w:r>
          </w:p>
        </w:tc>
      </w:tr>
    </w:tbl>
    <w:p>
      <w:pPr>
        <w:spacing w:after="120" w:before="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b3d2e" w:sz="24"/>
              <w:bottom w:val="none" w:color="ffffff" w:sz="0"/>
              <w:right w:val="none" w:color="ffffff" w:sz="0"/>
            </w:tcBorders>
            <w:shd w:fill="f5f3ef" w:val="clear"/>
            <w:tcMar>
              <w:top w:type="dxa" w:w="200"/>
              <w:left w:type="dxa" w:w="300"/>
              <w:bottom w:type="dxa" w:w="200"/>
              <w:right w:type="dxa" w:w="300"/>
            </w:tcMar>
          </w:tcPr>
          <w:p>
            <w:pPr>
              <w:spacing w:after="80" w:before="0"/>
            </w:pPr>
            <w:r>
              <w:rPr>
                <w:rFonts w:ascii="Arial" w:cs="Arial" w:eastAsia="Arial" w:hAnsi="Arial"/>
                <w:b/>
                <w:bCs/>
                <w:color w:val="0b3d2e"/>
                <w:sz w:val="22"/>
                <w:szCs w:val="22"/>
              </w:rPr>
              <w:t xml:space="preserve">The five inputs that drive 80% of outcome variance</w:t>
            </w:r>
          </w:p>
          <w:p>
            <w:pPr>
              <w:spacing w:after="80" w:before="0"/>
            </w:pPr>
            <w:r>
              <w:rPr>
                <w:rFonts w:ascii="Arial" w:cs="Arial" w:eastAsia="Arial" w:hAnsi="Arial"/>
                <w:color w:val="262626"/>
                <w:sz w:val="22"/>
                <w:szCs w:val="22"/>
              </w:rPr>
              <w:t xml:space="preserve">1. Giga discount (low certainty, single cell)   ·   2. IRU vs lease share (high certainty, decision)   ·   3. Schools penetration Y3 (medium certainty, sales-velocity driven)   ·   4. Commercial revenue mix (medium certainty, strategy decision)   ·   5. Staff cost (low certainty, materially under-modeled in v0.4)</w:t>
            </w:r>
          </w:p>
          <w:p>
            <w:pPr>
              <w:spacing w:after="80" w:before="0"/>
            </w:pPr>
            <w:r>
              <w:rPr>
                <w:rFonts w:ascii="Arial" w:cs="Arial" w:eastAsia="Arial" w:hAnsi="Arial"/>
                <w:i/>
                <w:iCs/>
                <w:color w:val="595959"/>
                <w:sz w:val="20"/>
                <w:szCs w:val="20"/>
              </w:rPr>
              <w:t xml:space="preserve">Everything else is second-order. The Excel model attached lets you flex each of these and observe the impact on peak funding, payback, IRR, and EBITDA margin.</w:t>
            </w:r>
          </w:p>
        </w:tc>
      </w:tr>
    </w:tbl>
    <w:p>
      <w:pPr>
        <w:pStyle w:val="Heading1"/>
        <w:pageBreakBefore/>
        <w:spacing w:after="200" w:before="240"/>
      </w:pPr>
      <w:r>
        <w:rPr>
          <w:rFonts w:ascii="Arial" w:cs="Arial" w:eastAsia="Arial" w:hAnsi="Arial"/>
          <w:b/>
          <w:bCs/>
          <w:color w:val="0b3d2e"/>
          <w:sz w:val="36"/>
          <w:szCs w:val="36"/>
        </w:rPr>
        <w:t xml:space="preserve">6. Monetisation Strategy — 20 Stakeholder Channels</w:t>
      </w:r>
    </w:p>
    <w:p>
      <w:pPr>
        <w:spacing w:after="200" w:before="0"/>
      </w:pPr>
      <w:r>
        <w:rPr>
          <w:rFonts w:ascii="Arial" w:cs="Arial" w:eastAsia="Arial" w:hAnsi="Arial"/>
          <w:color w:val="262626"/>
          <w:sz w:val="22"/>
          <w:szCs w:val="22"/>
        </w:rPr>
        <w:t xml:space="preserve">The v0.4 base case has one revenue stream: Giga-discounted school connectivity, at $2.24M revenue by 2029 and 10% EBITDA margin. That is not commercially viable on its own. This section maps out 20 additional value-capture pathways, with each one classified by tier (impact × feasibility), stakeholder, mechanism, and indicative annual value. The final strategy combines a curated subset.</w:t>
      </w:r>
    </w:p>
    <w:p>
      <w:pPr>
        <w:spacing w:after="80" w:before="160"/>
      </w:pPr>
      <w:r>
        <w:rPr>
          <w:rFonts w:ascii="Arial" w:cs="Arial" w:eastAsia="Arial" w:hAnsi="Arial"/>
          <w:b/>
          <w:bCs/>
          <w:i/>
          <w:iCs/>
          <w:color w:val="595959"/>
          <w:sz w:val="22"/>
          <w:szCs w:val="22"/>
        </w:rPr>
        <w:t xml:space="preserve">Tier legend</w:t>
      </w:r>
    </w:p>
    <w:p>
      <w:pPr>
        <w:spacing w:after="200" w:before="0"/>
      </w:pPr>
      <w:r>
        <w:rPr>
          <w:rFonts w:ascii="Arial" w:cs="Arial" w:eastAsia="Arial" w:hAnsi="Arial"/>
          <w:i/>
          <w:iCs/>
          <w:color w:val="595959"/>
          <w:sz w:val="20"/>
          <w:szCs w:val="20"/>
        </w:rPr>
        <w:t xml:space="preserve">● Tier 1 — High potential, build for now   ● Tier 2 — Strong, build in year 2   ● Tier 3 — Moderate, opportunistic   ● Tier 4 — Exploratory, watch but don't prioritise</w:t>
      </w:r>
    </w:p>
    <w:p>
      <w:pPr>
        <w:pStyle w:val="Heading2"/>
        <w:spacing w:after="160" w:before="320"/>
      </w:pPr>
      <w:r>
        <w:rPr>
          <w:rFonts w:ascii="Arial" w:cs="Arial" w:eastAsia="Arial" w:hAnsi="Arial"/>
          <w:b/>
          <w:bCs/>
          <w:color w:val="1a1a1a"/>
          <w:sz w:val="28"/>
          <w:szCs w:val="28"/>
        </w:rPr>
        <w:t xml:space="preserve">6.1 Direct commercial revenue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2400"/>
        <w:gridCol w:w="600"/>
        <w:gridCol w:w="3160"/>
      </w:tblGrid>
      <w:tr>
        <w:trPr>
          <w:tblHeader/>
        </w:trPr>
        <w:tc>
          <w:tcPr>
            <w:tcW w:type="dxa" w:w="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w:t>
            </w:r>
          </w:p>
        </w:tc>
        <w:tc>
          <w:tcPr>
            <w:tcW w:type="dxa" w:w="2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Idea</w:t>
            </w:r>
          </w:p>
        </w:tc>
        <w:tc>
          <w:tcPr>
            <w:tcW w:type="dxa" w:w="2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Stakeholder</w:t>
            </w:r>
          </w:p>
        </w:tc>
        <w:tc>
          <w:tcPr>
            <w:tcW w:type="dxa" w:w="6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Tier</w:t>
            </w:r>
          </w:p>
        </w:tc>
        <w:tc>
          <w:tcPr>
            <w:tcW w:type="dxa" w:w="31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Indicative annual value</w:t>
            </w:r>
          </w:p>
        </w:tc>
      </w:tr>
      <w:tr>
        <w:tc>
          <w:tcPr>
            <w:tcW w:type="dxa" w:w="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Hyperscaler EU-Africa transit</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Google, Meta, Microsoft, AWS</w:t>
            </w:r>
          </w:p>
        </w:tc>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w:t>
            </w:r>
          </w:p>
        </w:tc>
        <w:tc>
          <w:tcPr>
            <w:tcW w:type="dxa" w:w="3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$1.5M × up to 4</w:t>
            </w:r>
          </w:p>
        </w:tc>
      </w:tr>
      <w:tr>
        <w:tc>
          <w:tcPr>
            <w:tcW w:type="dxa" w:w="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w:t>
            </w:r>
          </w:p>
        </w:tc>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CDN edge caching &amp; private peering</w:t>
            </w:r>
          </w:p>
        </w:tc>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Cloudflare, Akamai, Fastly</w:t>
            </w:r>
          </w:p>
        </w:tc>
        <w:tc>
          <w:tcPr>
            <w:tcW w:type="dxa" w:w="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w:t>
            </w:r>
          </w:p>
        </w:tc>
        <w:tc>
          <w:tcPr>
            <w:tcW w:type="dxa" w:w="31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$100k × up to 8 POPs</w:t>
            </w:r>
          </w:p>
        </w:tc>
      </w:tr>
      <w:tr>
        <w:tc>
          <w:tcPr>
            <w:tcW w:type="dxa" w:w="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Streaming peering (cost-saving)</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Netflix, YouTube, Disney+</w:t>
            </w:r>
          </w:p>
        </w:tc>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w:t>
            </w:r>
          </w:p>
        </w:tc>
        <w:tc>
          <w:tcPr>
            <w:tcW w:type="dxa" w:w="3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$80k × up to 10 POPs (opex saved)</w:t>
            </w:r>
          </w:p>
        </w:tc>
      </w:tr>
      <w:tr>
        <w:tc>
          <w:tcPr>
            <w:tcW w:type="dxa" w:w="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4</w:t>
            </w:r>
          </w:p>
        </w:tc>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Bank/fintech premium connectivity</w:t>
            </w:r>
          </w:p>
        </w:tc>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Pan-African banks, Flutterwave, Onafriq</w:t>
            </w:r>
          </w:p>
        </w:tc>
        <w:tc>
          <w:tcPr>
            <w:tcW w:type="dxa" w:w="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w:t>
            </w:r>
          </w:p>
        </w:tc>
        <w:tc>
          <w:tcPr>
            <w:tcW w:type="dxa" w:w="31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$350k × up to 6</w:t>
            </w:r>
          </w:p>
        </w:tc>
      </w:tr>
      <w:tr>
        <w:tc>
          <w:tcPr>
            <w:tcW w:type="dxa" w:w="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Sovereign data hosting / trusted route</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African governments, EU defence</w:t>
            </w:r>
          </w:p>
        </w:tc>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w:t>
            </w:r>
          </w:p>
        </w:tc>
        <w:tc>
          <w:tcPr>
            <w:tcW w:type="dxa" w:w="3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$800k × up to 3</w:t>
            </w:r>
          </w:p>
        </w:tc>
      </w:tr>
      <w:tr>
        <w:tc>
          <w:tcPr>
            <w:tcW w:type="dxa" w:w="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6</w:t>
            </w:r>
          </w:p>
        </w:tc>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Healthcare / telemedicine routing</w:t>
            </w:r>
          </w:p>
        </w:tc>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African hospitals, EU telehealth</w:t>
            </w:r>
          </w:p>
        </w:tc>
        <w:tc>
          <w:tcPr>
            <w:tcW w:type="dxa" w:w="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w:t>
            </w:r>
          </w:p>
        </w:tc>
        <w:tc>
          <w:tcPr>
            <w:tcW w:type="dxa" w:w="31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$200k × up to 4</w:t>
            </w:r>
          </w:p>
        </w:tc>
      </w:tr>
      <w:tr>
        <w:tc>
          <w:tcPr>
            <w:tcW w:type="dxa" w:w="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7</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University / research network capacity</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GÉANT, ASREN, UbuntuNet</w:t>
            </w:r>
          </w:p>
        </w:tc>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w:t>
            </w:r>
          </w:p>
        </w:tc>
        <w:tc>
          <w:tcPr>
            <w:tcW w:type="dxa" w:w="3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$400k total</w:t>
            </w:r>
          </w:p>
        </w:tc>
      </w:tr>
      <w:tr>
        <w:tc>
          <w:tcPr>
            <w:tcW w:type="dxa" w:w="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8</w:t>
            </w:r>
          </w:p>
        </w:tc>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Mining / remote site connectivity</w:t>
            </w:r>
          </w:p>
        </w:tc>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African mining, O&amp;G</w:t>
            </w:r>
          </w:p>
        </w:tc>
        <w:tc>
          <w:tcPr>
            <w:tcW w:type="dxa" w:w="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w:t>
            </w:r>
          </w:p>
        </w:tc>
        <w:tc>
          <w:tcPr>
            <w:tcW w:type="dxa" w:w="31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$200k × up to 5</w:t>
            </w:r>
          </w:p>
        </w:tc>
      </w:tr>
      <w:tr>
        <w:tc>
          <w:tcPr>
            <w:tcW w:type="dxa" w:w="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9</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Maritime / port digitalisation</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Tangier-Med, Mombasa, Lagos ports</w:t>
            </w:r>
          </w:p>
        </w:tc>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w:t>
            </w:r>
          </w:p>
        </w:tc>
        <w:tc>
          <w:tcPr>
            <w:tcW w:type="dxa" w:w="3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$250k × up to 4</w:t>
            </w:r>
          </w:p>
        </w:tc>
      </w:tr>
      <w:tr>
        <w:tc>
          <w:tcPr>
            <w:tcW w:type="dxa" w:w="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10</w:t>
            </w:r>
          </w:p>
        </w:tc>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Hotel chain / hospitality</w:t>
            </w:r>
          </w:p>
        </w:tc>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Accor, Marriott, Four Seasons resorts</w:t>
            </w:r>
          </w:p>
        </w:tc>
        <w:tc>
          <w:tcPr>
            <w:tcW w:type="dxa" w:w="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4</w:t>
            </w:r>
          </w:p>
        </w:tc>
        <w:tc>
          <w:tcPr>
            <w:tcW w:type="dxa" w:w="31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$30k × up to 15</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6.2 Indirect revenue / cost reduction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2400"/>
        <w:gridCol w:w="600"/>
        <w:gridCol w:w="3160"/>
      </w:tblGrid>
      <w:tr>
        <w:trPr>
          <w:tblHeader/>
        </w:trPr>
        <w:tc>
          <w:tcPr>
            <w:tcW w:type="dxa" w:w="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w:t>
            </w:r>
          </w:p>
        </w:tc>
        <w:tc>
          <w:tcPr>
            <w:tcW w:type="dxa" w:w="2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Idea</w:t>
            </w:r>
          </w:p>
        </w:tc>
        <w:tc>
          <w:tcPr>
            <w:tcW w:type="dxa" w:w="2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Stakeholder</w:t>
            </w:r>
          </w:p>
        </w:tc>
        <w:tc>
          <w:tcPr>
            <w:tcW w:type="dxa" w:w="6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Tier</w:t>
            </w:r>
          </w:p>
        </w:tc>
        <w:tc>
          <w:tcPr>
            <w:tcW w:type="dxa" w:w="31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Indicative annual value</w:t>
            </w:r>
          </w:p>
        </w:tc>
      </w:tr>
      <w:tr>
        <w:tc>
          <w:tcPr>
            <w:tcW w:type="dxa" w:w="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11</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Colocation revenue (sub-let rack space)</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Local ISPs, content providers</w:t>
            </w:r>
          </w:p>
        </w:tc>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w:t>
            </w:r>
          </w:p>
        </w:tc>
        <w:tc>
          <w:tcPr>
            <w:tcW w:type="dxa" w:w="3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$120k × up to 12 POPs</w:t>
            </w:r>
          </w:p>
        </w:tc>
      </w:tr>
      <w:tr>
        <w:tc>
          <w:tcPr>
            <w:tcW w:type="dxa" w:w="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12</w:t>
            </w:r>
          </w:p>
        </w:tc>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Dark fibre leasing (terrestrial)</w:t>
            </w:r>
          </w:p>
        </w:tc>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ISPs, mobile operators</w:t>
            </w:r>
          </w:p>
        </w:tc>
        <w:tc>
          <w:tcPr>
            <w:tcW w:type="dxa" w:w="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w:t>
            </w:r>
          </w:p>
        </w:tc>
        <w:tc>
          <w:tcPr>
            <w:tcW w:type="dxa" w:w="31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$600k total</w:t>
            </w:r>
          </w:p>
        </w:tc>
      </w:tr>
      <w:tr>
        <w:tc>
          <w:tcPr>
            <w:tcW w:type="dxa" w:w="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13</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IXP hosting &amp; operations</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Country-level IXPs</w:t>
            </w:r>
          </w:p>
        </w:tc>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w:t>
            </w:r>
          </w:p>
        </w:tc>
        <w:tc>
          <w:tcPr>
            <w:tcW w:type="dxa" w:w="3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$300k total</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6.3 Strategic financing / new structures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2400"/>
        <w:gridCol w:w="600"/>
        <w:gridCol w:w="3160"/>
      </w:tblGrid>
      <w:tr>
        <w:trPr>
          <w:tblHeader/>
        </w:trPr>
        <w:tc>
          <w:tcPr>
            <w:tcW w:type="dxa" w:w="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w:t>
            </w:r>
          </w:p>
        </w:tc>
        <w:tc>
          <w:tcPr>
            <w:tcW w:type="dxa" w:w="2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Idea</w:t>
            </w:r>
          </w:p>
        </w:tc>
        <w:tc>
          <w:tcPr>
            <w:tcW w:type="dxa" w:w="2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Stakeholder</w:t>
            </w:r>
          </w:p>
        </w:tc>
        <w:tc>
          <w:tcPr>
            <w:tcW w:type="dxa" w:w="6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Tier</w:t>
            </w:r>
          </w:p>
        </w:tc>
        <w:tc>
          <w:tcPr>
            <w:tcW w:type="dxa" w:w="31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Mechanism</w:t>
            </w:r>
          </w:p>
        </w:tc>
      </w:tr>
      <w:tr>
        <w:tc>
          <w:tcPr>
            <w:tcW w:type="dxa" w:w="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14</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Outcome-based Development Impact Bond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World Bank, Gates, Education Outcomes Fund</w:t>
            </w:r>
          </w:p>
        </w:tc>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w:t>
            </w:r>
          </w:p>
        </w:tc>
        <w:tc>
          <w:tcPr>
            <w:tcW w:type="dxa" w:w="3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$5M upfront, repaid on verified outcomes</w:t>
            </w:r>
          </w:p>
        </w:tc>
      </w:tr>
      <w:tr>
        <w:tc>
          <w:tcPr>
            <w:tcW w:type="dxa" w:w="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15</w:t>
            </w:r>
          </w:p>
        </w:tc>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Extended anchor tenant prepayment</w:t>
            </w:r>
          </w:p>
        </w:tc>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UNICEF/Giga, hyperscaler</w:t>
            </w:r>
          </w:p>
        </w:tc>
        <w:tc>
          <w:tcPr>
            <w:tcW w:type="dxa" w:w="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w:t>
            </w:r>
          </w:p>
        </w:tc>
        <w:tc>
          <w:tcPr>
            <w:tcW w:type="dxa" w:w="31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$6M upfront (3-yr capacity prepay)</w:t>
            </w:r>
          </w:p>
        </w:tc>
      </w:tr>
      <w:tr>
        <w:tc>
          <w:tcPr>
            <w:tcW w:type="dxa" w:w="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16</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Government PPP / schools concession</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African Ministries of Education</w:t>
            </w:r>
          </w:p>
        </w:tc>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w:t>
            </w:r>
          </w:p>
        </w:tc>
        <w:tc>
          <w:tcPr>
            <w:tcW w:type="dxa" w:w="3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$800k/yr × up to 4 countries</w:t>
            </w:r>
          </w:p>
        </w:tc>
      </w:tr>
      <w:tr>
        <w:tc>
          <w:tcPr>
            <w:tcW w:type="dxa" w:w="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17</w:t>
            </w:r>
          </w:p>
        </w:tc>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OEM vendor financing (Cisco/Nokia/Juniper)</w:t>
            </w:r>
          </w:p>
        </w:tc>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Equipment vendors</w:t>
            </w:r>
          </w:p>
        </w:tc>
        <w:tc>
          <w:tcPr>
            <w:tcW w:type="dxa" w:w="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w:t>
            </w:r>
          </w:p>
        </w:tc>
        <w:tc>
          <w:tcPr>
            <w:tcW w:type="dxa" w:w="31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60% of equipment capex → opex over 5y</w:t>
            </w:r>
          </w:p>
        </w:tc>
      </w:tr>
      <w:tr>
        <w:tc>
          <w:tcPr>
            <w:tcW w:type="dxa" w:w="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18</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Carbon credits / sustainability finance</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Verra, Gold Standard, EU ETS</w:t>
            </w:r>
          </w:p>
        </w:tc>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4</w:t>
            </w:r>
          </w:p>
        </w:tc>
        <w:tc>
          <w:tcPr>
            <w:tcW w:type="dxa" w:w="3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$200k/yr at maturity</w:t>
            </w:r>
          </w:p>
        </w:tc>
      </w:tr>
      <w:tr>
        <w:tc>
          <w:tcPr>
            <w:tcW w:type="dxa" w:w="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19</w:t>
            </w:r>
          </w:p>
        </w:tc>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ESG-tilted debt pricing premium</w:t>
            </w:r>
          </w:p>
        </w:tc>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EAIF, BII, EIB sustainability-linked</w:t>
            </w:r>
          </w:p>
        </w:tc>
        <w:tc>
          <w:tcPr>
            <w:tcW w:type="dxa" w:w="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w:t>
            </w:r>
          </w:p>
        </w:tc>
        <w:tc>
          <w:tcPr>
            <w:tcW w:type="dxa" w:w="31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−100 bps on debt rate</w:t>
            </w:r>
          </w:p>
        </w:tc>
      </w:tr>
      <w:tr>
        <w:tc>
          <w:tcPr>
            <w:tcW w:type="dxa" w:w="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Diaspora / remittance routing</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Western Union, MoneyGram, Wise</w:t>
            </w:r>
          </w:p>
        </w:tc>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4</w:t>
            </w:r>
          </w:p>
        </w:tc>
        <w:tc>
          <w:tcPr>
            <w:tcW w:type="dxa" w:w="3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$300k total</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6.4 The combined strategy — "Foundation+Commercial"</w:t>
      </w:r>
    </w:p>
    <w:p>
      <w:pPr>
        <w:spacing w:after="200" w:before="0"/>
      </w:pPr>
      <w:r>
        <w:rPr>
          <w:rFonts w:ascii="Arial" w:cs="Arial" w:eastAsia="Arial" w:hAnsi="Arial"/>
          <w:color w:val="262626"/>
          <w:sz w:val="22"/>
          <w:szCs w:val="22"/>
        </w:rPr>
        <w:t xml:space="preserve">The recommended starting combination is the six Tier-1 ideas: hyperscaler transit, CDN peering, banks/fintech, anchor prepayment, Development Impact Bond, vendor financing. These have the highest ratio of value to operational effort and they collectively change the financial trajectory from "Never payback" to "4–6 year payback" without any change to the school-pricing covenant.</w:t>
      </w:r>
    </w:p>
    <w:p>
      <w:pPr>
        <w:spacing w:after="200" w:before="0"/>
      </w:pPr>
      <w:r>
        <w:rPr>
          <w:rFonts w:ascii="Arial" w:cs="Arial" w:eastAsia="Arial" w:hAnsi="Arial"/>
          <w:color w:val="262626"/>
          <w:sz w:val="22"/>
          <w:szCs w:val="22"/>
        </w:rPr>
        <w:t xml:space="preserve">In the accompanying Excel model and the interactive simulator (separate JSX deliverable), each idea is a toggle. The Final Strategy tab compares the base case to the combined-ideas case side by side, showing the effect on peak funding need, Y10 EBITDA margin, payback, and IRR.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b3d2e" w:sz="24"/>
              <w:bottom w:val="none" w:color="ffffff" w:sz="0"/>
              <w:right w:val="none" w:color="ffffff" w:sz="0"/>
            </w:tcBorders>
            <w:shd w:fill="f5f3ef" w:val="clear"/>
            <w:tcMar>
              <w:top w:type="dxa" w:w="200"/>
              <w:left w:type="dxa" w:w="300"/>
              <w:bottom w:type="dxa" w:w="200"/>
              <w:right w:type="dxa" w:w="300"/>
            </w:tcMar>
          </w:tcPr>
          <w:p>
            <w:pPr>
              <w:spacing w:after="80" w:before="0"/>
            </w:pPr>
            <w:r>
              <w:rPr>
                <w:rFonts w:ascii="Arial" w:cs="Arial" w:eastAsia="Arial" w:hAnsi="Arial"/>
                <w:b/>
                <w:bCs/>
                <w:color w:val="0b3d2e"/>
                <w:sz w:val="22"/>
                <w:szCs w:val="22"/>
              </w:rPr>
              <w:t xml:space="preserve">The combined Tier 1 effect, summarised</w:t>
            </w:r>
          </w:p>
          <w:p>
            <w:pPr>
              <w:spacing w:after="80" w:before="0"/>
            </w:pPr>
            <w:r>
              <w:rPr>
                <w:rFonts w:ascii="Arial" w:cs="Arial" w:eastAsia="Arial" w:hAnsi="Arial"/>
                <w:color w:val="262626"/>
                <w:sz w:val="22"/>
                <w:szCs w:val="22"/>
              </w:rPr>
              <w:t xml:space="preserve">Peak funding need: $25.5M → ~$15M   ·   Y10 EBITDA margin: 10% → ~30%   ·   Payback: Never → ~5 years   ·   2029 revenue: $2.24M → ~$5–7M</w:t>
            </w:r>
          </w:p>
          <w:p>
            <w:pPr>
              <w:spacing w:after="80" w:before="0"/>
            </w:pPr>
            <w:r>
              <w:rPr>
                <w:rFonts w:ascii="Arial" w:cs="Arial" w:eastAsia="Arial" w:hAnsi="Arial"/>
                <w:i/>
                <w:iCs/>
                <w:color w:val="595959"/>
                <w:sz w:val="20"/>
                <w:szCs w:val="20"/>
              </w:rPr>
              <w:t xml:space="preserve">Source: simulator output with Tier 1 ideas active and base v0.4 parameters otherwise unchanged.</w:t>
            </w:r>
          </w:p>
        </w:tc>
      </w:tr>
    </w:tbl>
    <w:p>
      <w:pPr>
        <w:pStyle w:val="Heading1"/>
        <w:pageBreakBefore/>
        <w:spacing w:after="200" w:before="240"/>
      </w:pPr>
      <w:r>
        <w:rPr>
          <w:rFonts w:ascii="Arial" w:cs="Arial" w:eastAsia="Arial" w:hAnsi="Arial"/>
          <w:b/>
          <w:bCs/>
          <w:color w:val="0b3d2e"/>
          <w:sz w:val="36"/>
          <w:szCs w:val="36"/>
        </w:rPr>
        <w:t xml:space="preserve">7. Competitive Landscape</w:t>
      </w:r>
    </w:p>
    <w:p>
      <w:pPr>
        <w:spacing w:after="200" w:before="0"/>
      </w:pPr>
      <w:r>
        <w:rPr>
          <w:rFonts w:ascii="Arial" w:cs="Arial" w:eastAsia="Arial" w:hAnsi="Arial"/>
          <w:color w:val="262626"/>
          <w:sz w:val="22"/>
          <w:szCs w:val="22"/>
        </w:rPr>
        <w:t xml:space="preserve">Songbird competes for capital, customers, and political support against three categories of incumbent: pan-African telcos, regional wholesale operators, and last-mile-only Giga partners. None of them does what Songbird does, but each can substitute for one piece of it.</w:t>
      </w:r>
    </w:p>
    <w:p>
      <w:pPr>
        <w:pStyle w:val="Heading2"/>
        <w:spacing w:after="160" w:before="320"/>
      </w:pPr>
      <w:r>
        <w:rPr>
          <w:rFonts w:ascii="Arial" w:cs="Arial" w:eastAsia="Arial" w:hAnsi="Arial"/>
          <w:b/>
          <w:bCs/>
          <w:color w:val="1a1a1a"/>
          <w:sz w:val="28"/>
          <w:szCs w:val="28"/>
        </w:rPr>
        <w:t xml:space="preserve">7.1 Pan-African telcos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500"/>
        <w:gridCol w:w="1800"/>
        <w:gridCol w:w="2460"/>
      </w:tblGrid>
      <w:tr>
        <w:trPr>
          <w:tblHeader/>
        </w:trPr>
        <w:tc>
          <w:tcPr>
            <w:tcW w:type="dxa" w:w="22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Operator</w:t>
            </w:r>
          </w:p>
        </w:tc>
        <w:tc>
          <w:tcPr>
            <w:tcW w:type="dxa" w:w="1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Footprint</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Wholesale focus?</w:t>
            </w:r>
          </w:p>
        </w:tc>
        <w:tc>
          <w:tcPr>
            <w:tcW w:type="dxa" w:w="1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Songbird overlap</w:t>
            </w:r>
          </w:p>
        </w:tc>
        <w:tc>
          <w:tcPr>
            <w:tcW w:type="dxa" w:w="24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Risk to Songbird</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MTN</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17 markets</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Some (Bayobab)</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High — they could replicate</w:t>
            </w:r>
          </w:p>
        </w:tc>
        <w:tc>
          <w:tcPr>
            <w:tcW w:type="dxa" w:w="2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High — but choose not to (margin)</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Orange</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18 markets</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Yes (Sonatel, OBN)</w:t>
            </w:r>
          </w:p>
        </w:tc>
        <w:tc>
          <w:tcPr>
            <w:tcW w:type="dxa" w:w="1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High — already wholesale</w:t>
            </w:r>
          </w:p>
        </w:tc>
        <w:tc>
          <w:tcPr>
            <w:tcW w:type="dxa" w:w="24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 — different price points</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Airtel Africa</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14 markets</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Limited</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2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Low — retail focus</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Vodacom</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7 markets</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Some</w:t>
            </w:r>
          </w:p>
        </w:tc>
        <w:tc>
          <w:tcPr>
            <w:tcW w:type="dxa" w:w="1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24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Low</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Liquid Intelligent Technologies</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Pan-African</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Yes — direct comp</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Highest overlap</w:t>
            </w:r>
          </w:p>
        </w:tc>
        <w:tc>
          <w:tcPr>
            <w:tcW w:type="dxa" w:w="2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High — but mission framing differs</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7.2 Regional / specialised wholesale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700"/>
        <w:gridCol w:w="1500"/>
        <w:gridCol w:w="3960"/>
      </w:tblGrid>
      <w:tr>
        <w:trPr>
          <w:tblHeader/>
        </w:trPr>
        <w:tc>
          <w:tcPr>
            <w:tcW w:type="dxa" w:w="22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Operator</w:t>
            </w:r>
          </w:p>
        </w:tc>
        <w:tc>
          <w:tcPr>
            <w:tcW w:type="dxa" w:w="17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Focus</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Songbird overlap</w:t>
            </w:r>
          </w:p>
        </w:tc>
        <w:tc>
          <w:tcPr>
            <w:tcW w:type="dxa" w:w="39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Why Songbird wins (or loses)</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Seacom</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East Africa subsea</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High on routes</w:t>
            </w:r>
          </w:p>
        </w:tc>
        <w:tc>
          <w:tcPr>
            <w:tcW w:type="dxa" w:w="3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Same routes — but Songbird has school covenant, donor backing</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WIOCC</w:t>
            </w:r>
          </w:p>
        </w:tc>
        <w:tc>
          <w:tcPr>
            <w:tcW w:type="dxa" w:w="1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EASSy operator</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39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Different positioning — Songbird = aggregator, WIOCC = wholesaler</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MainOne</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West Africa</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3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Different geo focus; partnership candidate</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Mobile Networks (AMN)</w:t>
            </w:r>
          </w:p>
        </w:tc>
        <w:tc>
          <w:tcPr>
            <w:tcW w:type="dxa" w:w="1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Rural towers</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Low</w:t>
            </w:r>
          </w:p>
        </w:tc>
        <w:tc>
          <w:tcPr>
            <w:tcW w:type="dxa" w:w="39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Different layer (last-mile), partnership candidate</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Bayobab (MTN)</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Pan-African wholesale</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High</w:t>
            </w:r>
          </w:p>
        </w:tc>
        <w:tc>
          <w:tcPr>
            <w:tcW w:type="dxa" w:w="3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Same market — but Songbird is non-retail-conflicted</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7.3 The Songbird differentiation</w:t>
      </w:r>
    </w:p>
    <w:p>
      <w:pPr>
        <w:pStyle w:val="ListParagraph"/>
        <w:numPr>
          <w:ilvl w:val="0"/>
          <w:numId w:val="2"/>
        </w:numPr>
        <w:spacing w:after="40" w:before="40"/>
      </w:pPr>
      <w:r>
        <w:rPr>
          <w:rFonts w:ascii="Arial" w:cs="Arial" w:eastAsia="Arial" w:hAnsi="Arial"/>
          <w:b/>
          <w:bCs/>
          <w:color w:val="262626"/>
          <w:sz w:val="22"/>
          <w:szCs w:val="22"/>
        </w:rPr>
        <w:t xml:space="preserve">Foundation governance + Giga firewall: </w:t>
      </w:r>
      <w:r>
        <w:rPr>
          <w:rFonts w:ascii="Arial" w:cs="Arial" w:eastAsia="Arial" w:hAnsi="Arial"/>
          <w:color w:val="262626"/>
          <w:sz w:val="22"/>
          <w:szCs w:val="22"/>
        </w:rPr>
        <w:t xml:space="preserve">Unique. No incumbent has this. It unlocks public capital that incumbents cannot access.</w:t>
      </w:r>
    </w:p>
    <w:p>
      <w:pPr>
        <w:pStyle w:val="ListParagraph"/>
        <w:numPr>
          <w:ilvl w:val="0"/>
          <w:numId w:val="2"/>
        </w:numPr>
        <w:spacing w:after="40" w:before="40"/>
      </w:pPr>
      <w:r>
        <w:rPr>
          <w:rFonts w:ascii="Arial" w:cs="Arial" w:eastAsia="Arial" w:hAnsi="Arial"/>
          <w:b/>
          <w:bCs/>
          <w:color w:val="262626"/>
          <w:sz w:val="22"/>
          <w:szCs w:val="22"/>
        </w:rPr>
        <w:t xml:space="preserve">Non-retail conflicted: </w:t>
      </w:r>
      <w:r>
        <w:rPr>
          <w:rFonts w:ascii="Arial" w:cs="Arial" w:eastAsia="Arial" w:hAnsi="Arial"/>
          <w:color w:val="262626"/>
          <w:sz w:val="22"/>
          <w:szCs w:val="22"/>
        </w:rPr>
        <w:t xml:space="preserve">MTN and Orange cannot honestly price below their own retail tariffs. Songbird can — because it has no retail business.</w:t>
      </w:r>
    </w:p>
    <w:p>
      <w:pPr>
        <w:pStyle w:val="ListParagraph"/>
        <w:numPr>
          <w:ilvl w:val="0"/>
          <w:numId w:val="2"/>
        </w:numPr>
        <w:spacing w:after="40" w:before="40"/>
      </w:pPr>
      <w:r>
        <w:rPr>
          <w:rFonts w:ascii="Arial" w:cs="Arial" w:eastAsia="Arial" w:hAnsi="Arial"/>
          <w:b/>
          <w:bCs/>
          <w:color w:val="262626"/>
          <w:sz w:val="22"/>
          <w:szCs w:val="22"/>
        </w:rPr>
        <w:t xml:space="preserve">Multi-cable, multi-route by design: </w:t>
      </w:r>
      <w:r>
        <w:rPr>
          <w:rFonts w:ascii="Arial" w:cs="Arial" w:eastAsia="Arial" w:hAnsi="Arial"/>
          <w:color w:val="262626"/>
          <w:sz w:val="22"/>
          <w:szCs w:val="22"/>
        </w:rPr>
        <w:t xml:space="preserve">No single cable cut takes Songbird down. Liquid relies heavily on WACS/EASSy; Songbird spreads across 2Africa/Equiano/Medusa.</w:t>
      </w:r>
    </w:p>
    <w:p>
      <w:pPr>
        <w:pStyle w:val="ListParagraph"/>
        <w:numPr>
          <w:ilvl w:val="0"/>
          <w:numId w:val="2"/>
        </w:numPr>
        <w:spacing w:after="40" w:before="40"/>
      </w:pPr>
      <w:r>
        <w:rPr>
          <w:rFonts w:ascii="Arial" w:cs="Arial" w:eastAsia="Arial" w:hAnsi="Arial"/>
          <w:b/>
          <w:bCs/>
          <w:color w:val="262626"/>
          <w:sz w:val="22"/>
          <w:szCs w:val="22"/>
        </w:rPr>
        <w:t xml:space="preserve">Maghreb-EU corridor: </w:t>
      </w:r>
      <w:r>
        <w:rPr>
          <w:rFonts w:ascii="Arial" w:cs="Arial" w:eastAsia="Arial" w:hAnsi="Arial"/>
          <w:color w:val="262626"/>
          <w:sz w:val="22"/>
          <w:szCs w:val="22"/>
        </w:rPr>
        <w:t xml:space="preserve">Songbird is one of the few wholesale operators positioned on Medusa from day one. Liquid/Bayobab/MTN are weaker on this axis.</w:t>
      </w:r>
    </w:p>
    <w:p>
      <w:pPr>
        <w:pStyle w:val="Heading1"/>
        <w:pageBreakBefore/>
        <w:spacing w:after="200" w:before="240"/>
      </w:pPr>
      <w:r>
        <w:rPr>
          <w:rFonts w:ascii="Arial" w:cs="Arial" w:eastAsia="Arial" w:hAnsi="Arial"/>
          <w:b/>
          <w:bCs/>
          <w:color w:val="0b3d2e"/>
          <w:sz w:val="36"/>
          <w:szCs w:val="36"/>
        </w:rPr>
        <w:t xml:space="preserve">8. Risks &amp; Mitigation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700"/>
        <w:gridCol w:w="1200"/>
        <w:gridCol w:w="1200"/>
        <w:gridCol w:w="2760"/>
      </w:tblGrid>
      <w:tr>
        <w:trPr>
          <w:tblHeader/>
        </w:trPr>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Risk category</w:t>
            </w:r>
          </w:p>
        </w:tc>
        <w:tc>
          <w:tcPr>
            <w:tcW w:type="dxa" w:w="27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Risk</w:t>
            </w:r>
          </w:p>
        </w:tc>
        <w:tc>
          <w:tcPr>
            <w:tcW w:type="dxa" w:w="12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Likelihood</w:t>
            </w:r>
          </w:p>
        </w:tc>
        <w:tc>
          <w:tcPr>
            <w:tcW w:type="dxa" w:w="12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Severity</w:t>
            </w:r>
          </w:p>
        </w:tc>
        <w:tc>
          <w:tcPr>
            <w:tcW w:type="dxa" w:w="27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Mitigation</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Funding</w:t>
            </w:r>
          </w:p>
        </w:tc>
        <w:tc>
          <w:tcPr>
            <w:tcW w:type="dxa" w:w="2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Public stack assembly slower than 18 months</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High</w:t>
            </w:r>
          </w:p>
        </w:tc>
        <w:tc>
          <w:tcPr>
            <w:tcW w:type="dxa" w:w="2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Sequence: AECID-first anchor, FEDES letter of interest in 3 months; parallel Convergence/Proparco track</w:t>
            </w:r>
          </w:p>
        </w:tc>
      </w:tr>
      <w:tr>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Funding</w:t>
            </w:r>
          </w:p>
        </w:tc>
        <w:tc>
          <w:tcPr>
            <w:tcW w:type="dxa" w:w="2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Equity round oversubscribes / dilutes Foundation</w:t>
            </w:r>
          </w:p>
        </w:tc>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Low</w:t>
            </w:r>
          </w:p>
        </w:tc>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27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Cap equity at 30%; use public stack to absorb majority of funding need</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Operational</w:t>
            </w:r>
          </w:p>
        </w:tc>
        <w:tc>
          <w:tcPr>
            <w:tcW w:type="dxa" w:w="2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Cable cut / route loss</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Medium-High</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2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Multi-cable design (2Africa + Equiano + Medusa + EASSy); 8-hour failover SLA</w:t>
            </w:r>
          </w:p>
        </w:tc>
      </w:tr>
      <w:tr>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Operational</w:t>
            </w:r>
          </w:p>
        </w:tc>
        <w:tc>
          <w:tcPr>
            <w:tcW w:type="dxa" w:w="2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Country-level regulatory blockage</w:t>
            </w:r>
          </w:p>
        </w:tc>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27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Phase rollout so no single country is critical; partner with local licensed operator where needed</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Market</w:t>
            </w:r>
          </w:p>
        </w:tc>
        <w:tc>
          <w:tcPr>
            <w:tcW w:type="dxa" w:w="2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IPT prices decline &gt;15%/yr</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2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Volume growth at 2x price decline; diversify into commercial mix (Tier 1 ideas)</w:t>
            </w:r>
          </w:p>
        </w:tc>
      </w:tr>
      <w:tr>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Market</w:t>
            </w:r>
          </w:p>
        </w:tc>
        <w:tc>
          <w:tcPr>
            <w:tcW w:type="dxa" w:w="2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Giga procurement slower than expected</w:t>
            </w:r>
          </w:p>
        </w:tc>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High</w:t>
            </w:r>
          </w:p>
        </w:tc>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High</w:t>
            </w:r>
          </w:p>
        </w:tc>
        <w:tc>
          <w:tcPr>
            <w:tcW w:type="dxa" w:w="27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Anchor prepayment (Tier 1 idea); commercial revenue mix; DIB structure</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Strategic</w:t>
            </w:r>
          </w:p>
        </w:tc>
        <w:tc>
          <w:tcPr>
            <w:tcW w:type="dxa" w:w="2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Telco competitor undercuts Songbird wholesale</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Low</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2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Foundation/donor stack makes Songbird structurally cheaper than commercial competitor</w:t>
            </w:r>
          </w:p>
        </w:tc>
      </w:tr>
      <w:tr>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Strategic</w:t>
            </w:r>
          </w:p>
        </w:tc>
        <w:tc>
          <w:tcPr>
            <w:tcW w:type="dxa" w:w="2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Donor mission firewall accidentally breached</w:t>
            </w:r>
          </w:p>
        </w:tc>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Low</w:t>
            </w:r>
          </w:p>
        </w:tc>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Very High</w:t>
            </w:r>
          </w:p>
        </w:tc>
        <w:tc>
          <w:tcPr>
            <w:tcW w:type="dxa" w:w="27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Big-4 annual audit; capacity reservation system at each POP; published Giga reference rates</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Financial</w:t>
            </w:r>
          </w:p>
        </w:tc>
        <w:tc>
          <w:tcPr>
            <w:tcW w:type="dxa" w:w="2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FX depreciation in operating countries</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High</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2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USD-denominated wholesale contracts; IFC IDA PSW Local Currency Facility for school revenue</w:t>
            </w:r>
          </w:p>
        </w:tc>
      </w:tr>
      <w:tr>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Financial</w:t>
            </w:r>
          </w:p>
        </w:tc>
        <w:tc>
          <w:tcPr>
            <w:tcW w:type="dxa" w:w="2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Tax structure challenged by authorities</w:t>
            </w:r>
          </w:p>
        </w:tc>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Low</w:t>
            </w:r>
          </w:p>
        </w:tc>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High</w:t>
            </w:r>
          </w:p>
        </w:tc>
        <w:tc>
          <w:tcPr>
            <w:tcW w:type="dxa" w:w="27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Wilson Sonsini structuring; Swiss Foundation + Mauritius / Malta opcos with substance</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Geopolitical</w:t>
            </w:r>
          </w:p>
        </w:tc>
        <w:tc>
          <w:tcPr>
            <w:tcW w:type="dxa" w:w="2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EU-China political tension restricts certain routes</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Low</w:t>
            </w:r>
          </w:p>
        </w:tc>
        <w:tc>
          <w:tcPr>
            <w:tcW w:type="dxa" w:w="2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Songbird is structurally EU-aligned; this is a tailwind, not a risk</w:t>
            </w:r>
          </w:p>
        </w:tc>
      </w:tr>
      <w:tr>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Geopolitical</w:t>
            </w:r>
          </w:p>
        </w:tc>
        <w:tc>
          <w:tcPr>
            <w:tcW w:type="dxa" w:w="2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African country political instability (Niger, Libya)</w:t>
            </w:r>
          </w:p>
        </w:tc>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Medium-High</w:t>
            </w:r>
          </w:p>
        </w:tc>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27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Limit single-country exposure; defer Niger to Phase 3</w:t>
            </w:r>
          </w:p>
        </w:tc>
      </w:tr>
    </w:tbl>
    <w:p>
      <w:pPr>
        <w:pStyle w:val="Heading1"/>
        <w:pageBreakBefore/>
        <w:spacing w:after="200" w:before="240"/>
      </w:pPr>
      <w:r>
        <w:rPr>
          <w:rFonts w:ascii="Arial" w:cs="Arial" w:eastAsia="Arial" w:hAnsi="Arial"/>
          <w:b/>
          <w:bCs/>
          <w:color w:val="0b3d2e"/>
          <w:sz w:val="36"/>
          <w:szCs w:val="36"/>
        </w:rPr>
        <w:t xml:space="preserve">9. The Ask &amp; The Use of Funds</w:t>
      </w:r>
    </w:p>
    <w:p>
      <w:pPr>
        <w:spacing w:after="200" w:before="0"/>
      </w:pPr>
      <w:r>
        <w:rPr>
          <w:rFonts w:ascii="Arial" w:cs="Arial" w:eastAsia="Arial" w:hAnsi="Arial"/>
          <w:color w:val="262626"/>
          <w:sz w:val="22"/>
          <w:szCs w:val="22"/>
        </w:rPr>
        <w:t xml:space="preserve">Songbird seeks $25–28M of blended capital over the next 18 months, structured to maximise public-stack contribution and minimise dilution of Foundation governance.</w:t>
      </w:r>
    </w:p>
    <w:p>
      <w:pPr>
        <w:pStyle w:val="Heading2"/>
        <w:spacing w:after="160" w:before="320"/>
      </w:pPr>
      <w:r>
        <w:rPr>
          <w:rFonts w:ascii="Arial" w:cs="Arial" w:eastAsia="Arial" w:hAnsi="Arial"/>
          <w:b/>
          <w:bCs/>
          <w:color w:val="1a1a1a"/>
          <w:sz w:val="28"/>
          <w:szCs w:val="28"/>
        </w:rPr>
        <w:t xml:space="preserve">9.1 The recommended capital stack</w:t>
      </w:r>
    </w:p>
    <w:tbl>
      <w:tblPr>
        <w:tblW w:type="dxa" w:w="9560"/>
        <w:tblBorders>
          <w:top w:val="single" w:color="auto" w:sz="4"/>
          <w:left w:val="single" w:color="auto" w:sz="4"/>
          <w:bottom w:val="single" w:color="auto" w:sz="4"/>
          <w:right w:val="single" w:color="auto" w:sz="4"/>
          <w:insideH w:val="single" w:color="auto" w:sz="4"/>
          <w:insideV w:val="single" w:color="auto" w:sz="4"/>
        </w:tblBorders>
      </w:tblPr>
      <w:tblGrid>
        <w:gridCol w:w="2200"/>
        <w:gridCol w:w="1500"/>
        <w:gridCol w:w="2200"/>
        <w:gridCol w:w="1500"/>
        <w:gridCol w:w="2160"/>
      </w:tblGrid>
      <w:tr>
        <w:trPr>
          <w:tblHeader/>
        </w:trPr>
        <w:tc>
          <w:tcPr>
            <w:tcW w:type="dxa" w:w="22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Tranche</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Amount</w:t>
            </w:r>
          </w:p>
        </w:tc>
        <w:tc>
          <w:tcPr>
            <w:tcW w:type="dxa" w:w="22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Source</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Status</w:t>
            </w:r>
          </w:p>
        </w:tc>
        <w:tc>
          <w:tcPr>
            <w:tcW w:type="dxa" w:w="21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Use</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Grant — Spanish stack</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€5M ($5.4M)</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AECID / FEDES + COFIDES</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Open call</w:t>
            </w:r>
          </w:p>
        </w:tc>
        <w:tc>
          <w:tcPr>
            <w:tcW w:type="dxa" w:w="2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Project preparation + Phase 1 capex</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Grant — EU Global Gateway</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€2M ($2.2M)</w:t>
            </w:r>
          </w:p>
        </w:tc>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GG Early-Stage Investment</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Next call</w:t>
            </w:r>
          </w:p>
        </w:tc>
        <w:tc>
          <w:tcPr>
            <w:tcW w:type="dxa" w:w="21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Pre-feasibility, technical, legal</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Concessional debt — EIB Global</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€10M ($10.9M)</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EIB / EFSD+ guarantee</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Q4 2026 target</w:t>
            </w:r>
          </w:p>
        </w:tc>
        <w:tc>
          <w:tcPr>
            <w:tcW w:type="dxa" w:w="2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Phase 1+2 capex</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Grant — AFD</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€3M ($3.3M)</w:t>
            </w:r>
          </w:p>
        </w:tc>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AFD</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Q1 2027 target</w:t>
            </w:r>
          </w:p>
        </w:tc>
        <w:tc>
          <w:tcPr>
            <w:tcW w:type="dxa" w:w="21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Maghreb + Francophone Africa POPs</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Grant — Germany / Italy / Nordics</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€3–5M ($3.3–5.4M)</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KfW / CDP / Norfund / Sida</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Q1–Q3 2027</w:t>
            </w:r>
          </w:p>
        </w:tc>
        <w:tc>
          <w:tcPr>
            <w:tcW w:type="dxa" w:w="2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Smart Africa data governance angle; Mattei Plan; Nordic catalytic</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Equity — patient capital</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$5–8M</w:t>
            </w:r>
          </w:p>
        </w:tc>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Convergence Partners / Proparco / BII</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Q2 2027 target</w:t>
            </w:r>
          </w:p>
        </w:tc>
        <w:tc>
          <w:tcPr>
            <w:tcW w:type="dxa" w:w="21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Commercial flexibility + DFI credibility</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Senior debt — EAIF</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$5–8M</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EAIF (PIDG)</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Q4 2027 target</w:t>
            </w:r>
          </w:p>
        </w:tc>
        <w:tc>
          <w:tcPr>
            <w:tcW w:type="dxa" w:w="2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Phase 3+4 expansion</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Total</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$25–28M</w:t>
            </w:r>
          </w:p>
        </w:tc>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Sequenced 0–18 months</w:t>
            </w:r>
          </w:p>
        </w:tc>
        <w:tc>
          <w:tcPr>
            <w:tcW w:type="dxa" w:w="21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9.2 Use of funds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500"/>
        <w:gridCol w:w="1500"/>
        <w:gridCol w:w="3960"/>
      </w:tblGrid>
      <w:tr>
        <w:trPr>
          <w:tblHeader/>
        </w:trPr>
        <w:tc>
          <w:tcPr>
            <w:tcW w:type="dxa" w:w="2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Category</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Amount</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Period</w:t>
            </w:r>
          </w:p>
        </w:tc>
        <w:tc>
          <w:tcPr>
            <w:tcW w:type="dxa" w:w="39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Detail</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IRU prepayments (capex)</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$10–13M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Y1–Y2</w:t>
            </w:r>
          </w:p>
        </w:tc>
        <w:tc>
          <w:tcPr>
            <w:tcW w:type="dxa" w:w="3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5–7 IRUs on confirmed-demand routes; lease the tail</w:t>
            </w:r>
          </w:p>
        </w:tc>
      </w:tr>
      <w:tr>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Equipment capex</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$2.5M</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Y1–Y10</w:t>
            </w:r>
          </w:p>
        </w:tc>
        <w:tc>
          <w:tcPr>
            <w:tcW w:type="dxa" w:w="39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20 POPs at $125–250k each (white-box + tier-1 mix)</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Operating runway (opex)</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$8–10M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Y1–Y3</w:t>
            </w:r>
          </w:p>
        </w:tc>
        <w:tc>
          <w:tcPr>
            <w:tcW w:type="dxa" w:w="3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Pre-revenue and ramp-up coverage</w:t>
            </w:r>
          </w:p>
        </w:tc>
      </w:tr>
      <w:tr>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Working capital reserve</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$0.5–1M</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Ongoing</w:t>
            </w:r>
          </w:p>
        </w:tc>
        <w:tc>
          <w:tcPr>
            <w:tcW w:type="dxa" w:w="39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Receivables, prepayments, FX buffer</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Regulatory + licensing</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$0.3–0.5M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Y1</w:t>
            </w:r>
          </w:p>
        </w:tc>
        <w:tc>
          <w:tcPr>
            <w:tcW w:type="dxa" w:w="3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11-country licensing + Foundation legal setup</w:t>
            </w:r>
          </w:p>
        </w:tc>
      </w:tr>
      <w:tr>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Contingency</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$2M</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Y1–Y5</w:t>
            </w:r>
          </w:p>
        </w:tc>
        <w:tc>
          <w:tcPr>
            <w:tcW w:type="dxa" w:w="39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~8% of total raise</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9.3 The minimum viable case</w:t>
      </w:r>
    </w:p>
    <w:p>
      <w:pPr>
        <w:spacing w:after="200" w:before="0"/>
      </w:pPr>
      <w:r>
        <w:rPr>
          <w:rFonts w:ascii="Arial" w:cs="Arial" w:eastAsia="Arial" w:hAnsi="Arial"/>
          <w:color w:val="262626"/>
          <w:sz w:val="22"/>
          <w:szCs w:val="22"/>
        </w:rPr>
        <w:t xml:space="preserve">If only a fraction of the full stack is available in the first 12 months, Songbird can launch a Phase 1-only configuration: Kenya (Nairobi + Mombasa) + Uganda (Kampala) + Nigeria (Lagos). Peak funding need: $8–10M. Lease everything that is not anchor-route. Revenue Y3 ~$1.2M from schools alone, plus first commercial revenue from Lagos hyperscaler/CDN early conversations.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b3d2e" w:sz="24"/>
              <w:bottom w:val="none" w:color="ffffff" w:sz="0"/>
              <w:right w:val="none" w:color="ffffff" w:sz="0"/>
            </w:tcBorders>
            <w:shd w:fill="f5f3ef" w:val="clear"/>
            <w:tcMar>
              <w:top w:type="dxa" w:w="200"/>
              <w:left w:type="dxa" w:w="300"/>
              <w:bottom w:type="dxa" w:w="200"/>
              <w:right w:type="dxa" w:w="300"/>
            </w:tcMar>
          </w:tcPr>
          <w:p>
            <w:pPr>
              <w:spacing w:after="80" w:before="0"/>
            </w:pPr>
            <w:r>
              <w:rPr>
                <w:rFonts w:ascii="Arial" w:cs="Arial" w:eastAsia="Arial" w:hAnsi="Arial"/>
                <w:b/>
                <w:bCs/>
                <w:color w:val="0b3d2e"/>
                <w:sz w:val="22"/>
                <w:szCs w:val="22"/>
              </w:rPr>
              <w:t xml:space="preserve">The Minimum Viable financing stack</w:t>
            </w:r>
          </w:p>
          <w:p>
            <w:pPr>
              <w:spacing w:after="80" w:before="0"/>
            </w:pPr>
            <w:r>
              <w:rPr>
                <w:rFonts w:ascii="Arial" w:cs="Arial" w:eastAsia="Arial" w:hAnsi="Arial"/>
                <w:i/>
                <w:iCs/>
                <w:color w:val="262626"/>
                <w:sz w:val="22"/>
                <w:szCs w:val="22"/>
              </w:rPr>
              <w:t xml:space="preserve">$5M FEDES/AECID grant   +   $3M EIB Global concessional debt at 2%   +   $2–3M equity (Convergence-led)   +   $1M anchor prepayment   ≈   $11–12M total, with $3M of headroom against $8–9M peak need. This is the executable first-12-month plan.</w:t>
            </w:r>
          </w:p>
        </w:tc>
      </w:tr>
    </w:tbl>
    <w:p>
      <w:pPr>
        <w:pStyle w:val="Heading1"/>
        <w:pageBreakBefore/>
        <w:spacing w:after="200" w:before="240"/>
      </w:pPr>
      <w:r>
        <w:rPr>
          <w:rFonts w:ascii="Arial" w:cs="Arial" w:eastAsia="Arial" w:hAnsi="Arial"/>
          <w:b/>
          <w:bCs/>
          <w:color w:val="0b3d2e"/>
          <w:sz w:val="36"/>
          <w:szCs w:val="36"/>
        </w:rPr>
        <w:t xml:space="preserve">10. 18-Month Milestones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4500"/>
        <w:gridCol w:w="1400"/>
        <w:gridCol w:w="2660"/>
      </w:tblGrid>
      <w:tr>
        <w:trPr>
          <w:tblHeader/>
        </w:trPr>
        <w:tc>
          <w:tcPr>
            <w:tcW w:type="dxa" w:w="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Month</w:t>
            </w:r>
          </w:p>
        </w:tc>
        <w:tc>
          <w:tcPr>
            <w:tcW w:type="dxa" w:w="4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Milestone</w:t>
            </w:r>
          </w:p>
        </w:tc>
        <w:tc>
          <w:tcPr>
            <w:tcW w:type="dxa" w:w="1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Status</w:t>
            </w:r>
          </w:p>
        </w:tc>
        <w:tc>
          <w:tcPr>
            <w:tcW w:type="dxa" w:w="26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Dependencies</w:t>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M1</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Foundation legal entity established (Switzerland)</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Q3 2026</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Wilson Sonsini engagement; founder commitments</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M2–M3</w:t>
            </w:r>
          </w:p>
        </w:tc>
        <w:tc>
          <w:tcPr>
            <w:tcW w:type="dxa" w:w="4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AECID/FEDES proposal submitted, letter of interest</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Q4 2026</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Pablo / Spanish network</w:t>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M3</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Convergence Partners + Proparco initial meetings</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Q4 2026</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Investor deck v1 from this plan</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M4–M6</w:t>
            </w:r>
          </w:p>
        </w:tc>
        <w:tc>
          <w:tcPr>
            <w:tcW w:type="dxa" w:w="4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Kenya, Uganda, Nigeria licences applied</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Q1 2027</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Local counsel engagement</w:t>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M5</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Phase 1 IRU procurement initiated (2Africa, Equiano)</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Q1 2027</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$5M committed capital</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M6</w:t>
            </w:r>
          </w:p>
        </w:tc>
        <w:tc>
          <w:tcPr>
            <w:tcW w:type="dxa" w:w="4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EIB Global application submitted</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Q2 2027</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FEDES letter of interest; project preparation grant</w:t>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M7–M9</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Phase 1 POP equipment procurement</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Q2–Q3 2027</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OEM vendor selection; vendor financing terms</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M8</w:t>
            </w:r>
          </w:p>
        </w:tc>
        <w:tc>
          <w:tcPr>
            <w:tcW w:type="dxa" w:w="4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Anchor tenant agreement with Giga signed</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Q2 2027</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Capacity commitment terms</w:t>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M9–M10</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Nairobi + Mombasa POPs live</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Q3 2027</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IRU delivery; equipment install</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M10</w:t>
            </w:r>
          </w:p>
        </w:tc>
        <w:tc>
          <w:tcPr>
            <w:tcW w:type="dxa" w:w="4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Series A equity round (Convergence-led)</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Q3 2027</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Phase 1 traction, public stack secured</w:t>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M11</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Lagos + Kampala POPs live</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Q4 2027</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Phase 1 complete</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M12</w:t>
            </w:r>
          </w:p>
        </w:tc>
        <w:tc>
          <w:tcPr>
            <w:tcW w:type="dxa" w:w="4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First school connections live (target: 5,000 schools)</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Q4 2027</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Giga procurement programme execution</w:t>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M13–M15</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CDN peering at Marseille; first hyperscaler conversations</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Q1 2028</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Phase 1 operational</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M14</w:t>
            </w:r>
          </w:p>
        </w:tc>
        <w:tc>
          <w:tcPr>
            <w:tcW w:type="dxa" w:w="4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Maghreb POPs (Tetouan, Nador, Fez, Algiers, Bizerte) </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Q1 2028</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Medusa RFS; Phase 2 capex</w:t>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M16</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First commercial revenue at Lagos POP (banks/CDN)</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Q2 2028</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Commercial team in place</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M18</w:t>
            </w:r>
          </w:p>
        </w:tc>
        <w:tc>
          <w:tcPr>
            <w:tcW w:type="dxa" w:w="4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Phase 1+2 complete, financial close on EAIF senior debt</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Q2 2028</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12 of 20 POPs operational</w:t>
            </w:r>
          </w:p>
        </w:tc>
      </w:tr>
    </w:tbl>
    <w:p>
      <w:pPr>
        <w:pStyle w:val="Heading1"/>
        <w:pageBreakBefore/>
        <w:spacing w:after="200" w:before="240"/>
      </w:pPr>
      <w:r>
        <w:rPr>
          <w:rFonts w:ascii="Arial" w:cs="Arial" w:eastAsia="Arial" w:hAnsi="Arial"/>
          <w:b/>
          <w:bCs/>
          <w:color w:val="0b3d2e"/>
          <w:sz w:val="36"/>
          <w:szCs w:val="36"/>
        </w:rPr>
        <w:t xml:space="preserve">11. Closing</w:t>
      </w:r>
    </w:p>
    <w:p>
      <w:pPr>
        <w:spacing w:after="200" w:before="0"/>
      </w:pPr>
      <w:r>
        <w:rPr>
          <w:rFonts w:ascii="Arial" w:cs="Arial" w:eastAsia="Arial" w:hAnsi="Arial"/>
          <w:color w:val="262626"/>
          <w:sz w:val="22"/>
          <w:szCs w:val="22"/>
        </w:rPr>
        <w:t xml:space="preserve">Songbird is an unusual project. It sits at the intersection of public mission and commercial infrastructure, and it works precisely because the two layers are kept separate by structural design. The Foundation owns the company; the Giga firewall protects donor confidence; the commercial layer pays for everything that the donor stack does not.</w:t>
      </w:r>
    </w:p>
    <w:p>
      <w:pPr>
        <w:spacing w:after="200" w:before="0"/>
      </w:pPr>
      <w:r>
        <w:rPr>
          <w:rFonts w:ascii="Arial" w:cs="Arial" w:eastAsia="Arial" w:hAnsi="Arial"/>
          <w:color w:val="262626"/>
          <w:sz w:val="22"/>
          <w:szCs w:val="22"/>
        </w:rPr>
        <w:t xml:space="preserve">The v0.4 wireframe model proves that even at conservative assumptions, the project is financeable at $25M of blended capital. The Phase 1 minimum-viable variant proves that $8–10M will get Songbird to operating evidence. The Tier 1 monetisation ideas demonstrate that with disciplined commercial-revenue expansion, the project becomes EBITDA-positive within four years and shows a credible path to a strategic exit or perpetual Foundation hold.</w:t>
      </w:r>
    </w:p>
    <w:p>
      <w:pPr>
        <w:spacing w:after="240" w:before="0"/>
      </w:pPr>
      <w:r>
        <w:rPr>
          <w:rFonts w:ascii="Arial" w:cs="Arial" w:eastAsia="Arial" w:hAnsi="Arial"/>
          <w:color w:val="262626"/>
          <w:sz w:val="22"/>
          <w:szCs w:val="22"/>
        </w:rPr>
        <w:t xml:space="preserve">The next step is two-fold. Submit the AECID/FEDES proposal within 60 days to anchor the public stack. Open conversations with Convergence Partners, Proparco, and EAIF in parallel — not for capital today, but for the term sheet that will close behind the public stack in 12 months.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b3d2e" w:sz="24"/>
              <w:bottom w:val="none" w:color="ffffff" w:sz="0"/>
              <w:right w:val="none" w:color="ffffff" w:sz="0"/>
            </w:tcBorders>
            <w:shd w:fill="f5f3ef" w:val="clear"/>
            <w:tcMar>
              <w:top w:type="dxa" w:w="200"/>
              <w:left w:type="dxa" w:w="300"/>
              <w:bottom w:type="dxa" w:w="200"/>
              <w:right w:type="dxa" w:w="300"/>
            </w:tcMar>
          </w:tcPr>
          <w:p>
            <w:pPr>
              <w:spacing w:after="80" w:before="0"/>
            </w:pPr>
            <w:r>
              <w:rPr>
                <w:rFonts w:ascii="Arial" w:cs="Arial" w:eastAsia="Arial" w:hAnsi="Arial"/>
                <w:b/>
                <w:bCs/>
                <w:color w:val="0b3d2e"/>
                <w:sz w:val="22"/>
                <w:szCs w:val="22"/>
              </w:rPr>
              <w:t xml:space="preserve">Two-track execution from day one</w:t>
            </w:r>
          </w:p>
          <w:p>
            <w:pPr>
              <w:spacing w:after="80" w:before="0"/>
            </w:pPr>
            <w:r>
              <w:rPr>
                <w:rFonts w:ascii="Arial" w:cs="Arial" w:eastAsia="Arial" w:hAnsi="Arial"/>
                <w:color w:val="262626"/>
                <w:sz w:val="22"/>
                <w:szCs w:val="22"/>
              </w:rPr>
              <w:t xml:space="preserve">Track A (months 0–9): AECID, EIB Global, AFD. Public stack to $10–15M. Sequenced applications, formal letters of interest.</w:t>
            </w:r>
          </w:p>
          <w:p>
            <w:pPr>
              <w:spacing w:after="80" w:before="0"/>
            </w:pPr>
            <w:r>
              <w:rPr>
                <w:rFonts w:ascii="Arial" w:cs="Arial" w:eastAsia="Arial" w:hAnsi="Arial"/>
                <w:color w:val="262626"/>
                <w:sz w:val="22"/>
                <w:szCs w:val="22"/>
              </w:rPr>
              <w:t xml:space="preserve">Track B (months 3–12): Convergence Partners, Proparco, BII, EAIF. Patient capital and DFI debt syndication, against the public-stack anchor.</w:t>
            </w:r>
          </w:p>
          <w:p>
            <w:pPr>
              <w:spacing w:after="80" w:before="0"/>
            </w:pPr>
            <w:r>
              <w:rPr>
                <w:rFonts w:ascii="Arial" w:cs="Arial" w:eastAsia="Arial" w:hAnsi="Arial"/>
                <w:i/>
                <w:iCs/>
                <w:color w:val="595959"/>
                <w:sz w:val="20"/>
                <w:szCs w:val="20"/>
              </w:rPr>
              <w:t xml:space="preserve">First close month 10. Second close month 18. Phase 1 operational month 11.</w:t>
            </w:r>
          </w:p>
        </w:tc>
      </w:tr>
    </w:tbl>
    <w:p>
      <w:pPr>
        <w:spacing w:after="400" w:before="0"/>
      </w:pPr>
      <w:r>
        <w:rPr>
          <w:sz w:val="4"/>
          <w:szCs w:val="4"/>
        </w:rPr>
        <w:t xml:space="preserve"/>
      </w:r>
    </w:p>
    <w:p>
      <w:pPr>
        <w:pBdr>
          <w:bottom w:val="single" w:color="2E75B6" w:sz="6" w:space="1"/>
        </w:pBdr>
        <w:spacing w:after="200" w:before="100"/>
      </w:pPr>
      <w:r>
        <w:t xml:space="preserve"/>
      </w:r>
    </w:p>
    <w:p>
      <w:pPr>
        <w:spacing w:after="80" w:before="0"/>
        <w:jc w:val="center"/>
      </w:pPr>
      <w:r>
        <w:rPr>
          <w:rFonts w:ascii="Arial" w:cs="Arial" w:eastAsia="Arial" w:hAnsi="Arial"/>
          <w:i/>
          <w:iCs/>
          <w:color w:val="595959"/>
          <w:sz w:val="20"/>
          <w:szCs w:val="20"/>
        </w:rPr>
        <w:t xml:space="preserve">This business plan is accompanied by:</w:t>
      </w:r>
    </w:p>
    <w:p>
      <w:pPr>
        <w:spacing w:after="80" w:before="0"/>
        <w:jc w:val="center"/>
      </w:pPr>
      <w:r>
        <w:rPr>
          <w:rFonts w:ascii="Arial" w:cs="Arial" w:eastAsia="Arial" w:hAnsi="Arial"/>
          <w:i/>
          <w:iCs/>
          <w:color w:val="595959"/>
          <w:sz w:val="20"/>
          <w:szCs w:val="20"/>
        </w:rPr>
        <w:t xml:space="preserve">Songbird_FundRaising_Strategy.docx · Songbird_Financial_Model_v2.xlsx · songbird_simulator_v2.jsx (interactive workbench)</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95959"/>
        <w:sz w:val="18"/>
        <w:szCs w:val="18"/>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595959"/>
        <w:sz w:val="18"/>
        <w:szCs w:val="18"/>
      </w:rPr>
      <w:t xml:space="preserve">Songbird · Business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0b3d2e"/>
      </w:r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62626"/>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0b3d2e"/>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1a1a1a"/>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Songbird Business Plan</dc:title>
  <dc:creator>Songbird</dc:creator>
  <dc:description>Comprehensive business plan for the Songbird first-mile African connectivity infrastructure</dc:description>
  <cp:lastModifiedBy>Un-named</cp:lastModifiedBy>
  <cp:revision>1</cp:revision>
  <dcterms:created xsi:type="dcterms:W3CDTF">2026-05-15T08:54:15.181Z</dcterms:created>
  <dcterms:modified xsi:type="dcterms:W3CDTF">2026-05-15T08:54:15.204Z</dcterms:modified>
</cp:coreProperties>
</file>

<file path=docProps/custom.xml><?xml version="1.0" encoding="utf-8"?>
<Properties xmlns="http://schemas.openxmlformats.org/officeDocument/2006/custom-properties" xmlns:vt="http://schemas.openxmlformats.org/officeDocument/2006/docPropsVTypes"/>
</file>